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3B0" w:rsidRDefault="005633B0" w:rsidP="005633B0">
      <w:pPr>
        <w:jc w:val="center"/>
        <w:rPr>
          <w:b/>
        </w:rPr>
      </w:pPr>
    </w:p>
    <w:p w:rsidR="005633B0" w:rsidRDefault="005633B0" w:rsidP="005633B0">
      <w:pPr>
        <w:jc w:val="center"/>
        <w:rPr>
          <w:b/>
        </w:rPr>
      </w:pPr>
      <w:r>
        <w:rPr>
          <w:b/>
        </w:rPr>
        <w:t xml:space="preserve">СПЕЦИФИКАЦИЯ </w:t>
      </w:r>
    </w:p>
    <w:tbl>
      <w:tblPr>
        <w:tblStyle w:val="a7"/>
        <w:tblW w:w="0" w:type="auto"/>
        <w:tblLook w:val="04A0" w:firstRow="1" w:lastRow="0" w:firstColumn="1" w:lastColumn="0" w:noHBand="0" w:noVBand="1"/>
      </w:tblPr>
      <w:tblGrid>
        <w:gridCol w:w="580"/>
        <w:gridCol w:w="1305"/>
        <w:gridCol w:w="969"/>
        <w:gridCol w:w="4042"/>
        <w:gridCol w:w="991"/>
        <w:gridCol w:w="865"/>
        <w:gridCol w:w="755"/>
        <w:gridCol w:w="1175"/>
      </w:tblGrid>
      <w:tr w:rsidR="00760A53" w:rsidRPr="00760A53" w:rsidTr="000C5576">
        <w:trPr>
          <w:trHeight w:val="600"/>
        </w:trPr>
        <w:tc>
          <w:tcPr>
            <w:tcW w:w="720" w:type="dxa"/>
            <w:noWrap/>
            <w:hideMark/>
          </w:tcPr>
          <w:p w:rsidR="000C5576" w:rsidRPr="00760A53" w:rsidRDefault="000C5576" w:rsidP="000C5576">
            <w:pPr>
              <w:jc w:val="center"/>
              <w:rPr>
                <w:rFonts w:ascii="Times New Roman" w:hAnsi="Times New Roman"/>
                <w:sz w:val="20"/>
                <w:szCs w:val="20"/>
              </w:rPr>
            </w:pPr>
            <w:r w:rsidRPr="00760A53">
              <w:rPr>
                <w:rFonts w:ascii="Times New Roman" w:hAnsi="Times New Roman"/>
                <w:sz w:val="20"/>
                <w:szCs w:val="20"/>
              </w:rPr>
              <w:t>№ п/п</w:t>
            </w:r>
          </w:p>
        </w:tc>
        <w:tc>
          <w:tcPr>
            <w:tcW w:w="1720" w:type="dxa"/>
            <w:noWrap/>
            <w:hideMark/>
          </w:tcPr>
          <w:p w:rsidR="000C5576" w:rsidRPr="00760A53" w:rsidRDefault="000C5576">
            <w:pPr>
              <w:jc w:val="center"/>
              <w:rPr>
                <w:rFonts w:ascii="Times New Roman" w:hAnsi="Times New Roman"/>
                <w:b/>
                <w:bCs/>
                <w:sz w:val="20"/>
                <w:szCs w:val="20"/>
              </w:rPr>
            </w:pPr>
            <w:r w:rsidRPr="00760A53">
              <w:rPr>
                <w:rFonts w:ascii="Times New Roman" w:hAnsi="Times New Roman"/>
                <w:b/>
                <w:bCs/>
                <w:sz w:val="20"/>
                <w:szCs w:val="20"/>
              </w:rPr>
              <w:t>Наименование</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w:t>
            </w:r>
          </w:p>
        </w:tc>
        <w:tc>
          <w:tcPr>
            <w:tcW w:w="550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Характеристика</w:t>
            </w:r>
          </w:p>
        </w:tc>
        <w:tc>
          <w:tcPr>
            <w:tcW w:w="1180" w:type="dxa"/>
            <w:noWrap/>
            <w:hideMark/>
          </w:tcPr>
          <w:p w:rsidR="000C5576" w:rsidRPr="00760A53" w:rsidRDefault="000C5576">
            <w:pPr>
              <w:jc w:val="center"/>
              <w:rPr>
                <w:rFonts w:ascii="Times New Roman" w:hAnsi="Times New Roman"/>
                <w:b/>
                <w:bCs/>
                <w:sz w:val="20"/>
                <w:szCs w:val="20"/>
              </w:rPr>
            </w:pPr>
            <w:r w:rsidRPr="00760A53">
              <w:rPr>
                <w:rFonts w:ascii="Times New Roman" w:hAnsi="Times New Roman"/>
                <w:b/>
                <w:bCs/>
                <w:sz w:val="20"/>
                <w:szCs w:val="20"/>
              </w:rPr>
              <w:t>Количество</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Единицы измерения</w:t>
            </w:r>
          </w:p>
        </w:tc>
        <w:tc>
          <w:tcPr>
            <w:tcW w:w="960" w:type="dxa"/>
            <w:noWrap/>
            <w:hideMark/>
          </w:tcPr>
          <w:p w:rsidR="000C5576" w:rsidRPr="00760A53" w:rsidRDefault="000C5576">
            <w:pPr>
              <w:jc w:val="center"/>
              <w:rPr>
                <w:rFonts w:ascii="Times New Roman" w:hAnsi="Times New Roman"/>
                <w:b/>
                <w:bCs/>
                <w:sz w:val="20"/>
                <w:szCs w:val="20"/>
              </w:rPr>
            </w:pPr>
            <w:r w:rsidRPr="00760A53">
              <w:rPr>
                <w:rFonts w:ascii="Times New Roman" w:hAnsi="Times New Roman"/>
                <w:b/>
                <w:bCs/>
                <w:sz w:val="20"/>
                <w:szCs w:val="20"/>
              </w:rPr>
              <w:t>Цена</w:t>
            </w:r>
          </w:p>
        </w:tc>
        <w:tc>
          <w:tcPr>
            <w:tcW w:w="1540" w:type="dxa"/>
            <w:noWrap/>
            <w:hideMark/>
          </w:tcPr>
          <w:p w:rsidR="000C5576" w:rsidRPr="00760A53" w:rsidRDefault="000C5576">
            <w:pPr>
              <w:jc w:val="center"/>
              <w:rPr>
                <w:rFonts w:ascii="Times New Roman" w:hAnsi="Times New Roman"/>
                <w:b/>
                <w:bCs/>
                <w:sz w:val="20"/>
                <w:szCs w:val="20"/>
              </w:rPr>
            </w:pPr>
            <w:r w:rsidRPr="00760A53">
              <w:rPr>
                <w:rFonts w:ascii="Times New Roman" w:hAnsi="Times New Roman"/>
                <w:b/>
                <w:bCs/>
                <w:sz w:val="20"/>
                <w:szCs w:val="20"/>
              </w:rPr>
              <w:t>Сумма</w:t>
            </w:r>
          </w:p>
        </w:tc>
      </w:tr>
      <w:tr w:rsidR="00760A53" w:rsidRPr="00760A53" w:rsidTr="000C5576">
        <w:trPr>
          <w:trHeight w:val="21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1.</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Печатки </w:t>
            </w:r>
            <w:proofErr w:type="gramStart"/>
            <w:r w:rsidRPr="00760A53">
              <w:rPr>
                <w:rFonts w:ascii="Times New Roman" w:hAnsi="Times New Roman"/>
                <w:sz w:val="20"/>
                <w:szCs w:val="20"/>
              </w:rPr>
              <w:t xml:space="preserve">хирургические  </w:t>
            </w:r>
            <w:proofErr w:type="spellStart"/>
            <w:r w:rsidRPr="00760A53">
              <w:rPr>
                <w:rFonts w:ascii="Times New Roman" w:hAnsi="Times New Roman"/>
                <w:sz w:val="20"/>
                <w:szCs w:val="20"/>
              </w:rPr>
              <w:t>Benovy</w:t>
            </w:r>
            <w:proofErr w:type="spellEnd"/>
            <w:proofErr w:type="gram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 указывается при подаче заявки</w:t>
            </w:r>
          </w:p>
        </w:tc>
        <w:tc>
          <w:tcPr>
            <w:tcW w:w="550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xml:space="preserve">Перчатки хирургические из натурального латекса, стерильные, неопудренные.  </w:t>
            </w:r>
            <w:proofErr w:type="gramStart"/>
            <w:r w:rsidRPr="00760A53">
              <w:rPr>
                <w:rFonts w:ascii="Times New Roman" w:hAnsi="Times New Roman"/>
                <w:sz w:val="20"/>
                <w:szCs w:val="20"/>
              </w:rPr>
              <w:t>Внешняя поверхность</w:t>
            </w:r>
            <w:proofErr w:type="gramEnd"/>
            <w:r w:rsidRPr="00760A53">
              <w:rPr>
                <w:rFonts w:ascii="Times New Roman" w:hAnsi="Times New Roman"/>
                <w:sz w:val="20"/>
                <w:szCs w:val="20"/>
              </w:rPr>
              <w:t xml:space="preserve"> текстурированная. Одинарная толщина: средний палец не менее 0,20мм. Длина перчатки не менее 280 мм для защиты предплечья. Класс потенциального риска применения не ниже 2а в соответствии с Регистрационным удостоверением.</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3000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пара</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hideMark/>
          </w:tcPr>
          <w:p w:rsidR="000C5576" w:rsidRPr="00760A53" w:rsidRDefault="000C5576">
            <w:pPr>
              <w:jc w:val="center"/>
              <w:rPr>
                <w:rFonts w:ascii="Times New Roman" w:hAnsi="Times New Roman"/>
                <w:sz w:val="20"/>
                <w:szCs w:val="20"/>
              </w:rPr>
            </w:pPr>
          </w:p>
        </w:tc>
      </w:tr>
      <w:tr w:rsidR="00760A53" w:rsidRPr="00760A53" w:rsidTr="000C5576">
        <w:trPr>
          <w:trHeight w:val="36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2.</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Перчатки смотровые латексные неопудренные </w:t>
            </w:r>
            <w:proofErr w:type="spellStart"/>
            <w:r w:rsidRPr="00760A53">
              <w:rPr>
                <w:rFonts w:ascii="Times New Roman" w:hAnsi="Times New Roman"/>
                <w:sz w:val="20"/>
                <w:szCs w:val="20"/>
              </w:rPr>
              <w:t>Benovy</w:t>
            </w:r>
            <w:proofErr w:type="spell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 указывается при подаче заявки</w:t>
            </w:r>
          </w:p>
        </w:tc>
        <w:tc>
          <w:tcPr>
            <w:tcW w:w="550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xml:space="preserve">Перчатки диагностические для проведения медицинских исследований, диагностических и терапевтических процедур. Материал изготовления – натуральный каучуковый латекс без опудривания с внутренним покрытием из полиуретана. Маркировка на упаковке материалов изготовления (в том числе материалов изготовления внутреннего покрытия/слоя). Универсальной формы, длиной не менее 240 мм, манжета с валиком. Полностью текстурированные для улучшенного захвата инструмента во влажной среде. Толщина текстурированных участков перчатки на пальцах не менее 0,15 мм, на ладони не менее 0,12 мм. </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3000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пара</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hideMark/>
          </w:tcPr>
          <w:p w:rsidR="000C5576" w:rsidRPr="00760A53" w:rsidRDefault="000C5576">
            <w:pPr>
              <w:jc w:val="center"/>
              <w:rPr>
                <w:rFonts w:ascii="Times New Roman" w:hAnsi="Times New Roman"/>
                <w:sz w:val="20"/>
                <w:szCs w:val="20"/>
              </w:rPr>
            </w:pPr>
          </w:p>
        </w:tc>
      </w:tr>
      <w:tr w:rsidR="00760A53" w:rsidRPr="00760A53" w:rsidTr="000C5576">
        <w:trPr>
          <w:trHeight w:val="48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3</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Перчатки смотровые латексные повышенной прочности </w:t>
            </w:r>
            <w:proofErr w:type="spellStart"/>
            <w:r w:rsidRPr="00760A53">
              <w:rPr>
                <w:rFonts w:ascii="Times New Roman" w:hAnsi="Times New Roman"/>
                <w:sz w:val="20"/>
                <w:szCs w:val="20"/>
              </w:rPr>
              <w:t>Ambulance</w:t>
            </w:r>
            <w:proofErr w:type="spellEnd"/>
            <w:r w:rsidRPr="00760A53">
              <w:rPr>
                <w:rFonts w:ascii="Times New Roman" w:hAnsi="Times New Roman"/>
                <w:sz w:val="20"/>
                <w:szCs w:val="20"/>
              </w:rPr>
              <w:t xml:space="preserve"> PF, </w:t>
            </w:r>
            <w:proofErr w:type="spellStart"/>
            <w:r w:rsidRPr="00760A53">
              <w:rPr>
                <w:rFonts w:ascii="Times New Roman" w:hAnsi="Times New Roman"/>
                <w:sz w:val="20"/>
                <w:szCs w:val="20"/>
              </w:rPr>
              <w:t>Mercator</w:t>
            </w:r>
            <w:proofErr w:type="spellEnd"/>
            <w:r w:rsidRPr="00760A53">
              <w:rPr>
                <w:rFonts w:ascii="Times New Roman" w:hAnsi="Times New Roman"/>
                <w:sz w:val="20"/>
                <w:szCs w:val="20"/>
              </w:rPr>
              <w:t xml:space="preserve"> </w:t>
            </w:r>
            <w:proofErr w:type="spellStart"/>
            <w:r w:rsidRPr="00760A53">
              <w:rPr>
                <w:rFonts w:ascii="Times New Roman" w:hAnsi="Times New Roman"/>
                <w:sz w:val="20"/>
                <w:szCs w:val="20"/>
              </w:rPr>
              <w:t>Medical</w:t>
            </w:r>
            <w:proofErr w:type="spell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 указывается при подаче заявки</w:t>
            </w:r>
          </w:p>
        </w:tc>
        <w:tc>
          <w:tcPr>
            <w:tcW w:w="550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Перчатки диагностические для проведения медицинских исследований, диагностических и терапевтических процедур, повышенной прочности. Материал изготовления – натуральный каучуковый латекс без опудривания с внутренним покрытием из полиуретана. Без хлоринации. Универсальной формы, длиной не менее 300 мм, манжета с валиком. Текстурированные по всей рабочей поверхности для улучшенного захвата инструмента во влажной среде. Толщина текстурированных участков перчатки на пальцах не менее 0,35 мм, на ладони не менее 0,34 мм для обеспечения устойчивости к механическим повреждениям и высокого уровня защиты от воздействия химически агрессивных сред. Класс потенциального риска применения не ниже 2а в соответствии с Регистрационным удостоверением.</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500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пара</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tcPr>
          <w:p w:rsidR="000C5576" w:rsidRPr="00760A53" w:rsidRDefault="000C5576">
            <w:pPr>
              <w:jc w:val="center"/>
              <w:rPr>
                <w:rFonts w:ascii="Times New Roman" w:hAnsi="Times New Roman"/>
                <w:sz w:val="20"/>
                <w:szCs w:val="20"/>
              </w:rPr>
            </w:pPr>
          </w:p>
        </w:tc>
      </w:tr>
      <w:tr w:rsidR="00760A53" w:rsidRPr="00760A53" w:rsidTr="000C5576">
        <w:trPr>
          <w:trHeight w:val="36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lastRenderedPageBreak/>
              <w:t>4</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Перчатки смотровые нитриловые </w:t>
            </w:r>
            <w:proofErr w:type="spellStart"/>
            <w:r w:rsidRPr="00760A53">
              <w:rPr>
                <w:rFonts w:ascii="Times New Roman" w:hAnsi="Times New Roman"/>
                <w:sz w:val="20"/>
                <w:szCs w:val="20"/>
              </w:rPr>
              <w:t>Peha-soft</w:t>
            </w:r>
            <w:proofErr w:type="spellEnd"/>
            <w:r w:rsidRPr="00760A53">
              <w:rPr>
                <w:rFonts w:ascii="Times New Roman" w:hAnsi="Times New Roman"/>
                <w:sz w:val="20"/>
                <w:szCs w:val="20"/>
              </w:rPr>
              <w:t xml:space="preserve"> </w:t>
            </w:r>
            <w:proofErr w:type="spellStart"/>
            <w:r w:rsidRPr="00760A53">
              <w:rPr>
                <w:rFonts w:ascii="Times New Roman" w:hAnsi="Times New Roman"/>
                <w:sz w:val="20"/>
                <w:szCs w:val="20"/>
              </w:rPr>
              <w:t>nitrile</w:t>
            </w:r>
            <w:proofErr w:type="spellEnd"/>
            <w:r w:rsidRPr="00760A53">
              <w:rPr>
                <w:rFonts w:ascii="Times New Roman" w:hAnsi="Times New Roman"/>
                <w:sz w:val="20"/>
                <w:szCs w:val="20"/>
              </w:rPr>
              <w:t xml:space="preserve"> </w:t>
            </w:r>
            <w:proofErr w:type="spellStart"/>
            <w:r w:rsidRPr="00760A53">
              <w:rPr>
                <w:rFonts w:ascii="Times New Roman" w:hAnsi="Times New Roman"/>
                <w:sz w:val="20"/>
                <w:szCs w:val="20"/>
              </w:rPr>
              <w:t>white</w:t>
            </w:r>
            <w:proofErr w:type="spell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 указывается при подаче заявки</w:t>
            </w:r>
          </w:p>
        </w:tc>
        <w:tc>
          <w:tcPr>
            <w:tcW w:w="550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xml:space="preserve">Перчатки смотровые, нитриловые, неопудренные, нестерильные. Предназначены для всех видов обследований, диагностики и ухода за больными. Рекомендованы для персонала с аллергией на натуральный латекс. Химически устойчивы к действию слабых щелочей и кислот. </w:t>
            </w:r>
            <w:proofErr w:type="gramStart"/>
            <w:r w:rsidRPr="00760A53">
              <w:rPr>
                <w:rFonts w:ascii="Times New Roman" w:hAnsi="Times New Roman"/>
                <w:sz w:val="20"/>
                <w:szCs w:val="20"/>
              </w:rPr>
              <w:t>Внешняя поверхность</w:t>
            </w:r>
            <w:proofErr w:type="gramEnd"/>
            <w:r w:rsidRPr="00760A53">
              <w:rPr>
                <w:rFonts w:ascii="Times New Roman" w:hAnsi="Times New Roman"/>
                <w:sz w:val="20"/>
                <w:szCs w:val="20"/>
              </w:rPr>
              <w:t xml:space="preserve"> текстурированная для лучшего захвата инструментов (в сухой и влажной среде). Одинарная толщина (средний </w:t>
            </w:r>
            <w:proofErr w:type="gramStart"/>
            <w:r w:rsidRPr="00760A53">
              <w:rPr>
                <w:rFonts w:ascii="Times New Roman" w:hAnsi="Times New Roman"/>
                <w:sz w:val="20"/>
                <w:szCs w:val="20"/>
              </w:rPr>
              <w:t>палец)  0</w:t>
            </w:r>
            <w:proofErr w:type="gramEnd"/>
            <w:r w:rsidRPr="00760A53">
              <w:rPr>
                <w:rFonts w:ascii="Times New Roman" w:hAnsi="Times New Roman"/>
                <w:sz w:val="20"/>
                <w:szCs w:val="20"/>
              </w:rPr>
              <w:t>,09 мм +/-0,01мм. Уменьшение толщины перчаток позволяет проводить процедуры, при которых требуется повышенная чувствительность. Длина перчатки не менее 240 мм.</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91000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пара</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tcPr>
          <w:p w:rsidR="000C5576" w:rsidRPr="00760A53" w:rsidRDefault="000C5576">
            <w:pPr>
              <w:jc w:val="center"/>
              <w:rPr>
                <w:rFonts w:ascii="Times New Roman" w:hAnsi="Times New Roman"/>
                <w:sz w:val="20"/>
                <w:szCs w:val="20"/>
              </w:rPr>
            </w:pPr>
          </w:p>
        </w:tc>
      </w:tr>
      <w:tr w:rsidR="00760A53" w:rsidRPr="00760A53" w:rsidTr="000C5576">
        <w:trPr>
          <w:trHeight w:val="66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5</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Перчатки хирургические </w:t>
            </w:r>
            <w:proofErr w:type="spellStart"/>
            <w:r w:rsidRPr="00760A53">
              <w:rPr>
                <w:rFonts w:ascii="Times New Roman" w:hAnsi="Times New Roman"/>
                <w:sz w:val="20"/>
                <w:szCs w:val="20"/>
              </w:rPr>
              <w:t>Protexis</w:t>
            </w:r>
            <w:proofErr w:type="spellEnd"/>
            <w:r w:rsidRPr="00760A53">
              <w:rPr>
                <w:rFonts w:ascii="Times New Roman" w:hAnsi="Times New Roman"/>
                <w:sz w:val="20"/>
                <w:szCs w:val="20"/>
              </w:rPr>
              <w:t xml:space="preserve"> </w:t>
            </w:r>
            <w:proofErr w:type="spellStart"/>
            <w:r w:rsidRPr="00760A53">
              <w:rPr>
                <w:rFonts w:ascii="Times New Roman" w:hAnsi="Times New Roman"/>
                <w:sz w:val="20"/>
                <w:szCs w:val="20"/>
              </w:rPr>
              <w:t>Latex</w:t>
            </w:r>
            <w:proofErr w:type="spell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размер указывается при подаче заявки</w:t>
            </w:r>
          </w:p>
        </w:tc>
        <w:tc>
          <w:tcPr>
            <w:tcW w:w="550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xml:space="preserve">Перчатки хирургические стерильные </w:t>
            </w:r>
            <w:proofErr w:type="gramStart"/>
            <w:r w:rsidRPr="00760A53">
              <w:rPr>
                <w:rFonts w:ascii="Times New Roman" w:hAnsi="Times New Roman"/>
                <w:sz w:val="20"/>
                <w:szCs w:val="20"/>
              </w:rPr>
              <w:t>одноразовые  неопудренные</w:t>
            </w:r>
            <w:proofErr w:type="gramEnd"/>
            <w:r w:rsidRPr="00760A53">
              <w:rPr>
                <w:rFonts w:ascii="Times New Roman" w:hAnsi="Times New Roman"/>
                <w:sz w:val="20"/>
                <w:szCs w:val="20"/>
              </w:rPr>
              <w:t xml:space="preserve"> многослойные, предназначены для защиты рук во время  работы с ВИЧ инфицированными пациентами. В перчатках должен быть промежуточный слой, содержащий дезинфицирующий состав на основе </w:t>
            </w:r>
            <w:proofErr w:type="spellStart"/>
            <w:r w:rsidRPr="00760A53">
              <w:rPr>
                <w:rFonts w:ascii="Times New Roman" w:hAnsi="Times New Roman"/>
                <w:sz w:val="20"/>
                <w:szCs w:val="20"/>
              </w:rPr>
              <w:t>хлоргексидина</w:t>
            </w:r>
            <w:proofErr w:type="spellEnd"/>
            <w:r w:rsidRPr="00760A53">
              <w:rPr>
                <w:rFonts w:ascii="Times New Roman" w:hAnsi="Times New Roman"/>
                <w:sz w:val="20"/>
                <w:szCs w:val="20"/>
              </w:rPr>
              <w:t xml:space="preserve">, либо слой из смеси нитрила и латекса в равных пропорциях. Внешний слой перчаток должен быть выполнен </w:t>
            </w:r>
            <w:proofErr w:type="gramStart"/>
            <w:r w:rsidRPr="00760A53">
              <w:rPr>
                <w:rFonts w:ascii="Times New Roman" w:hAnsi="Times New Roman"/>
                <w:sz w:val="20"/>
                <w:szCs w:val="20"/>
              </w:rPr>
              <w:t>из  высокоэластичного</w:t>
            </w:r>
            <w:proofErr w:type="gramEnd"/>
            <w:r w:rsidRPr="00760A53">
              <w:rPr>
                <w:rFonts w:ascii="Times New Roman" w:hAnsi="Times New Roman"/>
                <w:sz w:val="20"/>
                <w:szCs w:val="20"/>
              </w:rPr>
              <w:t xml:space="preserve"> натурального латекса,  внутренний слой перчаток должен состоять из 100% нитрила, либо представлять собой полимерный слой с гидрофильными и гидрофобными компонентами. Внешняя поверхность должна быть микрошероховатая, либо гладкая с противоскользящим эффектом. Манжета должна быть "армированная" - повышенной прочности и эластичности (чередование продольных уплотненных /утонченных слоев латекса) с </w:t>
            </w:r>
            <w:proofErr w:type="gramStart"/>
            <w:r w:rsidRPr="00760A53">
              <w:rPr>
                <w:rFonts w:ascii="Times New Roman" w:hAnsi="Times New Roman"/>
                <w:sz w:val="20"/>
                <w:szCs w:val="20"/>
              </w:rPr>
              <w:t>венчиком,  либо</w:t>
            </w:r>
            <w:proofErr w:type="gramEnd"/>
            <w:r w:rsidRPr="00760A53">
              <w:rPr>
                <w:rFonts w:ascii="Times New Roman" w:hAnsi="Times New Roman"/>
                <w:sz w:val="20"/>
                <w:szCs w:val="20"/>
              </w:rPr>
              <w:t xml:space="preserve"> без венчика с фиксирующей  адгезивной полосой. Прочность на разрыв не менее 20 Н (Ньютон). Толщина (одинарная стенка): средний палец не менее 0,20. Длина перчатки не менее 290 мм.  Класс потенциального риска применения не ниже 2а.</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200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пара</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hideMark/>
          </w:tcPr>
          <w:p w:rsidR="000C5576" w:rsidRPr="00760A53" w:rsidRDefault="000C5576">
            <w:pPr>
              <w:jc w:val="center"/>
              <w:rPr>
                <w:rFonts w:ascii="Times New Roman" w:hAnsi="Times New Roman"/>
                <w:sz w:val="20"/>
                <w:szCs w:val="20"/>
              </w:rPr>
            </w:pPr>
          </w:p>
        </w:tc>
      </w:tr>
      <w:tr w:rsidR="00760A53" w:rsidRPr="00760A53" w:rsidTr="000C5576">
        <w:trPr>
          <w:trHeight w:val="21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6</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Презервативы для УЗИ №1 без смазки. </w:t>
            </w:r>
            <w:proofErr w:type="spellStart"/>
            <w:r w:rsidRPr="00760A53">
              <w:rPr>
                <w:rFonts w:ascii="Times New Roman" w:hAnsi="Times New Roman"/>
                <w:sz w:val="20"/>
                <w:szCs w:val="20"/>
              </w:rPr>
              <w:t>Армавирский</w:t>
            </w:r>
            <w:proofErr w:type="spellEnd"/>
            <w:r w:rsidRPr="00760A53">
              <w:rPr>
                <w:rFonts w:ascii="Times New Roman" w:hAnsi="Times New Roman"/>
                <w:sz w:val="20"/>
                <w:szCs w:val="20"/>
              </w:rPr>
              <w:t xml:space="preserve"> завод резиновых </w:t>
            </w:r>
            <w:proofErr w:type="gramStart"/>
            <w:r w:rsidRPr="00760A53">
              <w:rPr>
                <w:rFonts w:ascii="Times New Roman" w:hAnsi="Times New Roman"/>
                <w:sz w:val="20"/>
                <w:szCs w:val="20"/>
              </w:rPr>
              <w:t xml:space="preserve">изделий.   </w:t>
            </w:r>
            <w:proofErr w:type="gramEnd"/>
            <w:r w:rsidRPr="00760A53">
              <w:rPr>
                <w:rFonts w:ascii="Times New Roman" w:hAnsi="Times New Roman"/>
                <w:sz w:val="20"/>
                <w:szCs w:val="20"/>
              </w:rPr>
              <w:t xml:space="preserve">     </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550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 Изготовлены из натурального прозрачного латекса, с гладкой поверхностью, без смазки, без накопителя. Диаметр – не менее 28 </w:t>
            </w:r>
            <w:proofErr w:type="gramStart"/>
            <w:r w:rsidRPr="00760A53">
              <w:rPr>
                <w:rFonts w:ascii="Times New Roman" w:hAnsi="Times New Roman"/>
                <w:sz w:val="20"/>
                <w:szCs w:val="20"/>
              </w:rPr>
              <w:t>мм,  в</w:t>
            </w:r>
            <w:proofErr w:type="gramEnd"/>
            <w:r w:rsidRPr="00760A53">
              <w:rPr>
                <w:rFonts w:ascii="Times New Roman" w:hAnsi="Times New Roman"/>
                <w:sz w:val="20"/>
                <w:szCs w:val="20"/>
              </w:rPr>
              <w:t xml:space="preserve"> точности соответствует датчику аппарата УЗИ;</w:t>
            </w:r>
            <w:r w:rsidRPr="00760A53">
              <w:rPr>
                <w:rFonts w:ascii="Times New Roman" w:hAnsi="Times New Roman"/>
                <w:sz w:val="20"/>
                <w:szCs w:val="20"/>
              </w:rPr>
              <w:br/>
              <w:t>длина - не менее 190 мм;</w:t>
            </w:r>
            <w:r w:rsidRPr="00760A53">
              <w:rPr>
                <w:rFonts w:ascii="Times New Roman" w:hAnsi="Times New Roman"/>
                <w:sz w:val="20"/>
                <w:szCs w:val="20"/>
              </w:rPr>
              <w:br/>
              <w:t xml:space="preserve">толщина - 0,05-0,09 мм. </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10000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штук</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hideMark/>
          </w:tcPr>
          <w:p w:rsidR="000C5576" w:rsidRPr="00760A53" w:rsidRDefault="000C5576">
            <w:pPr>
              <w:jc w:val="center"/>
              <w:rPr>
                <w:rFonts w:ascii="Times New Roman" w:hAnsi="Times New Roman"/>
                <w:sz w:val="20"/>
                <w:szCs w:val="20"/>
              </w:rPr>
            </w:pPr>
          </w:p>
        </w:tc>
      </w:tr>
      <w:tr w:rsidR="00760A53" w:rsidRPr="00760A53" w:rsidTr="000C5576">
        <w:trPr>
          <w:trHeight w:val="2115"/>
        </w:trPr>
        <w:tc>
          <w:tcPr>
            <w:tcW w:w="720"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lastRenderedPageBreak/>
              <w:t>7</w:t>
            </w:r>
          </w:p>
        </w:tc>
        <w:tc>
          <w:tcPr>
            <w:tcW w:w="172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Жгут одноразовый, </w:t>
            </w:r>
            <w:proofErr w:type="spellStart"/>
            <w:r w:rsidRPr="00760A53">
              <w:rPr>
                <w:rFonts w:ascii="Times New Roman" w:hAnsi="Times New Roman"/>
                <w:sz w:val="20"/>
                <w:szCs w:val="20"/>
              </w:rPr>
              <w:t>безлатексный</w:t>
            </w:r>
            <w:proofErr w:type="spellEnd"/>
            <w:r w:rsidR="00760A53">
              <w:rPr>
                <w:rFonts w:ascii="Times New Roman" w:hAnsi="Times New Roman"/>
                <w:sz w:val="20"/>
                <w:szCs w:val="20"/>
              </w:rPr>
              <w:t>, венозный SARSTEDT (</w:t>
            </w:r>
            <w:proofErr w:type="spellStart"/>
            <w:r w:rsidR="00760A53">
              <w:rPr>
                <w:rFonts w:ascii="Times New Roman" w:hAnsi="Times New Roman"/>
                <w:sz w:val="20"/>
                <w:szCs w:val="20"/>
              </w:rPr>
              <w:t>Сарштедт</w:t>
            </w:r>
            <w:proofErr w:type="spellEnd"/>
            <w:r w:rsidR="00760A53">
              <w:rPr>
                <w:rFonts w:ascii="Times New Roman" w:hAnsi="Times New Roman"/>
                <w:sz w:val="20"/>
                <w:szCs w:val="20"/>
              </w:rPr>
              <w:t>,</w:t>
            </w:r>
            <w:r w:rsidRPr="00760A53">
              <w:rPr>
                <w:rFonts w:ascii="Times New Roman" w:hAnsi="Times New Roman"/>
                <w:sz w:val="20"/>
                <w:szCs w:val="20"/>
              </w:rPr>
              <w:t>).</w:t>
            </w:r>
          </w:p>
        </w:tc>
        <w:tc>
          <w:tcPr>
            <w:tcW w:w="1289"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5500" w:type="dxa"/>
            <w:hideMark/>
          </w:tcPr>
          <w:p w:rsidR="000C5576" w:rsidRPr="00760A53" w:rsidRDefault="000C5576" w:rsidP="00760A53">
            <w:pPr>
              <w:jc w:val="center"/>
              <w:rPr>
                <w:rFonts w:ascii="Times New Roman" w:hAnsi="Times New Roman"/>
                <w:sz w:val="20"/>
                <w:szCs w:val="20"/>
              </w:rPr>
            </w:pPr>
            <w:r w:rsidRPr="00760A53">
              <w:rPr>
                <w:rFonts w:ascii="Times New Roman" w:hAnsi="Times New Roman"/>
                <w:sz w:val="20"/>
                <w:szCs w:val="20"/>
              </w:rPr>
              <w:t xml:space="preserve">Назначение: для прижатия вены и выделения места венепункции. Жгут одноразовый. Выполнен из специального композитного материала (бумага/пластик), не содержит латекса. Упаковка в коробке в рулоне по 200 штук. Каждый жгут отделен от другого </w:t>
            </w:r>
            <w:r w:rsidR="00760A53" w:rsidRPr="00760A53">
              <w:rPr>
                <w:rFonts w:ascii="Times New Roman" w:hAnsi="Times New Roman"/>
                <w:sz w:val="20"/>
                <w:szCs w:val="20"/>
              </w:rPr>
              <w:t>перфорационн</w:t>
            </w:r>
            <w:r w:rsidR="00760A53">
              <w:rPr>
                <w:rFonts w:ascii="Times New Roman" w:hAnsi="Times New Roman"/>
                <w:sz w:val="20"/>
                <w:szCs w:val="20"/>
              </w:rPr>
              <w:t>ой</w:t>
            </w:r>
            <w:bookmarkStart w:id="0" w:name="_GoBack"/>
            <w:bookmarkEnd w:id="0"/>
            <w:r w:rsidRPr="00760A53">
              <w:rPr>
                <w:rFonts w:ascii="Times New Roman" w:hAnsi="Times New Roman"/>
                <w:sz w:val="20"/>
                <w:szCs w:val="20"/>
              </w:rPr>
              <w:t xml:space="preserve"> лентой. </w:t>
            </w:r>
          </w:p>
        </w:tc>
        <w:tc>
          <w:tcPr>
            <w:tcW w:w="118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3000</w:t>
            </w:r>
          </w:p>
        </w:tc>
        <w:tc>
          <w:tcPr>
            <w:tcW w:w="1067" w:type="dxa"/>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штук</w:t>
            </w:r>
          </w:p>
        </w:tc>
        <w:tc>
          <w:tcPr>
            <w:tcW w:w="960" w:type="dxa"/>
            <w:noWrap/>
            <w:hideMark/>
          </w:tcPr>
          <w:p w:rsidR="000C5576" w:rsidRPr="00760A53" w:rsidRDefault="000C5576">
            <w:pPr>
              <w:jc w:val="center"/>
              <w:rPr>
                <w:rFonts w:ascii="Times New Roman" w:hAnsi="Times New Roman"/>
                <w:sz w:val="20"/>
                <w:szCs w:val="20"/>
              </w:rPr>
            </w:pPr>
            <w:r w:rsidRPr="00760A53">
              <w:rPr>
                <w:rFonts w:ascii="Times New Roman" w:hAnsi="Times New Roman"/>
                <w:sz w:val="20"/>
                <w:szCs w:val="20"/>
              </w:rPr>
              <w:t> </w:t>
            </w:r>
          </w:p>
        </w:tc>
        <w:tc>
          <w:tcPr>
            <w:tcW w:w="1540" w:type="dxa"/>
            <w:hideMark/>
          </w:tcPr>
          <w:p w:rsidR="000C5576" w:rsidRPr="00760A53" w:rsidRDefault="000C5576">
            <w:pPr>
              <w:jc w:val="center"/>
              <w:rPr>
                <w:rFonts w:ascii="Times New Roman" w:hAnsi="Times New Roman"/>
                <w:sz w:val="20"/>
                <w:szCs w:val="20"/>
              </w:rPr>
            </w:pPr>
          </w:p>
        </w:tc>
      </w:tr>
    </w:tbl>
    <w:p w:rsidR="00687A38" w:rsidRPr="00495C60" w:rsidRDefault="00687A38" w:rsidP="005633B0">
      <w:pPr>
        <w:jc w:val="center"/>
      </w:pPr>
    </w:p>
    <w:sectPr w:rsidR="00687A38" w:rsidRPr="00495C60" w:rsidSect="00702BD3">
      <w:headerReference w:type="default" r:id="rId7"/>
      <w:pgSz w:w="11906" w:h="16838"/>
      <w:pgMar w:top="423" w:right="720" w:bottom="72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AA8" w:rsidRDefault="00066AA8" w:rsidP="00702BD3">
      <w:pPr>
        <w:spacing w:after="0" w:line="240" w:lineRule="auto"/>
      </w:pPr>
      <w:r>
        <w:separator/>
      </w:r>
    </w:p>
  </w:endnote>
  <w:endnote w:type="continuationSeparator" w:id="0">
    <w:p w:rsidR="00066AA8" w:rsidRDefault="00066AA8" w:rsidP="00702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AA8" w:rsidRDefault="00066AA8" w:rsidP="00702BD3">
      <w:pPr>
        <w:spacing w:after="0" w:line="240" w:lineRule="auto"/>
      </w:pPr>
      <w:r>
        <w:separator/>
      </w:r>
    </w:p>
  </w:footnote>
  <w:footnote w:type="continuationSeparator" w:id="0">
    <w:p w:rsidR="00066AA8" w:rsidRDefault="00066AA8" w:rsidP="00702B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AA8" w:rsidRDefault="00066AA8" w:rsidP="00702BD3">
    <w:pPr>
      <w:pStyle w:val="a3"/>
      <w:jc w:val="center"/>
    </w:pPr>
    <w:r w:rsidRPr="0001708B">
      <w:rPr>
        <w:b/>
      </w:rPr>
      <w:t>Муниципальное медицинское автономное учреждение «Городская поликлиника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D3"/>
    <w:rsid w:val="00066AA8"/>
    <w:rsid w:val="000C5576"/>
    <w:rsid w:val="00106271"/>
    <w:rsid w:val="00147BEC"/>
    <w:rsid w:val="001B29F1"/>
    <w:rsid w:val="00284EFE"/>
    <w:rsid w:val="00333327"/>
    <w:rsid w:val="00337932"/>
    <w:rsid w:val="003E72F3"/>
    <w:rsid w:val="004051C6"/>
    <w:rsid w:val="00422A62"/>
    <w:rsid w:val="00455FF2"/>
    <w:rsid w:val="004665BF"/>
    <w:rsid w:val="00495C60"/>
    <w:rsid w:val="00497A83"/>
    <w:rsid w:val="00505C9A"/>
    <w:rsid w:val="005526A7"/>
    <w:rsid w:val="005633B0"/>
    <w:rsid w:val="005D60B2"/>
    <w:rsid w:val="005F2C34"/>
    <w:rsid w:val="006010B5"/>
    <w:rsid w:val="00604989"/>
    <w:rsid w:val="006070BD"/>
    <w:rsid w:val="006305BE"/>
    <w:rsid w:val="00687A38"/>
    <w:rsid w:val="006A557D"/>
    <w:rsid w:val="006E4F54"/>
    <w:rsid w:val="00702BD3"/>
    <w:rsid w:val="00760A53"/>
    <w:rsid w:val="0080207F"/>
    <w:rsid w:val="00840AFD"/>
    <w:rsid w:val="008B43D9"/>
    <w:rsid w:val="009011D7"/>
    <w:rsid w:val="0093604B"/>
    <w:rsid w:val="00942D02"/>
    <w:rsid w:val="0096032E"/>
    <w:rsid w:val="00967EBE"/>
    <w:rsid w:val="009731A6"/>
    <w:rsid w:val="00985E67"/>
    <w:rsid w:val="009A2686"/>
    <w:rsid w:val="009D5C07"/>
    <w:rsid w:val="00A50109"/>
    <w:rsid w:val="00A92DF2"/>
    <w:rsid w:val="00AF5933"/>
    <w:rsid w:val="00B359BF"/>
    <w:rsid w:val="00B405E4"/>
    <w:rsid w:val="00B72DA8"/>
    <w:rsid w:val="00BA69C6"/>
    <w:rsid w:val="00C06693"/>
    <w:rsid w:val="00CA2051"/>
    <w:rsid w:val="00CD53F7"/>
    <w:rsid w:val="00D02DD7"/>
    <w:rsid w:val="00D344C4"/>
    <w:rsid w:val="00D773D8"/>
    <w:rsid w:val="00E22EE5"/>
    <w:rsid w:val="00ED3D31"/>
    <w:rsid w:val="00EF4E5B"/>
    <w:rsid w:val="00F02D52"/>
    <w:rsid w:val="00F36CCF"/>
    <w:rsid w:val="00F53F6C"/>
    <w:rsid w:val="00F91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190DC-9174-49BB-9747-C01F2201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6A7"/>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02BD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02BD3"/>
  </w:style>
  <w:style w:type="paragraph" w:styleId="a5">
    <w:name w:val="footer"/>
    <w:basedOn w:val="a"/>
    <w:link w:val="a6"/>
    <w:uiPriority w:val="99"/>
    <w:semiHidden/>
    <w:unhideWhenUsed/>
    <w:rsid w:val="00702BD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02BD3"/>
  </w:style>
  <w:style w:type="table" w:styleId="a7">
    <w:name w:val="Table Grid"/>
    <w:basedOn w:val="a1"/>
    <w:uiPriority w:val="59"/>
    <w:rsid w:val="00687A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1689">
      <w:bodyDiv w:val="1"/>
      <w:marLeft w:val="0"/>
      <w:marRight w:val="0"/>
      <w:marTop w:val="0"/>
      <w:marBottom w:val="0"/>
      <w:divBdr>
        <w:top w:val="none" w:sz="0" w:space="0" w:color="auto"/>
        <w:left w:val="none" w:sz="0" w:space="0" w:color="auto"/>
        <w:bottom w:val="none" w:sz="0" w:space="0" w:color="auto"/>
        <w:right w:val="none" w:sz="0" w:space="0" w:color="auto"/>
      </w:divBdr>
    </w:div>
    <w:div w:id="30539788">
      <w:bodyDiv w:val="1"/>
      <w:marLeft w:val="0"/>
      <w:marRight w:val="0"/>
      <w:marTop w:val="0"/>
      <w:marBottom w:val="0"/>
      <w:divBdr>
        <w:top w:val="none" w:sz="0" w:space="0" w:color="auto"/>
        <w:left w:val="none" w:sz="0" w:space="0" w:color="auto"/>
        <w:bottom w:val="none" w:sz="0" w:space="0" w:color="auto"/>
        <w:right w:val="none" w:sz="0" w:space="0" w:color="auto"/>
      </w:divBdr>
    </w:div>
    <w:div w:id="106242573">
      <w:bodyDiv w:val="1"/>
      <w:marLeft w:val="0"/>
      <w:marRight w:val="0"/>
      <w:marTop w:val="0"/>
      <w:marBottom w:val="0"/>
      <w:divBdr>
        <w:top w:val="none" w:sz="0" w:space="0" w:color="auto"/>
        <w:left w:val="none" w:sz="0" w:space="0" w:color="auto"/>
        <w:bottom w:val="none" w:sz="0" w:space="0" w:color="auto"/>
        <w:right w:val="none" w:sz="0" w:space="0" w:color="auto"/>
      </w:divBdr>
    </w:div>
    <w:div w:id="187373823">
      <w:bodyDiv w:val="1"/>
      <w:marLeft w:val="0"/>
      <w:marRight w:val="0"/>
      <w:marTop w:val="0"/>
      <w:marBottom w:val="0"/>
      <w:divBdr>
        <w:top w:val="none" w:sz="0" w:space="0" w:color="auto"/>
        <w:left w:val="none" w:sz="0" w:space="0" w:color="auto"/>
        <w:bottom w:val="none" w:sz="0" w:space="0" w:color="auto"/>
        <w:right w:val="none" w:sz="0" w:space="0" w:color="auto"/>
      </w:divBdr>
    </w:div>
    <w:div w:id="240138385">
      <w:bodyDiv w:val="1"/>
      <w:marLeft w:val="0"/>
      <w:marRight w:val="0"/>
      <w:marTop w:val="0"/>
      <w:marBottom w:val="0"/>
      <w:divBdr>
        <w:top w:val="none" w:sz="0" w:space="0" w:color="auto"/>
        <w:left w:val="none" w:sz="0" w:space="0" w:color="auto"/>
        <w:bottom w:val="none" w:sz="0" w:space="0" w:color="auto"/>
        <w:right w:val="none" w:sz="0" w:space="0" w:color="auto"/>
      </w:divBdr>
    </w:div>
    <w:div w:id="389623237">
      <w:bodyDiv w:val="1"/>
      <w:marLeft w:val="0"/>
      <w:marRight w:val="0"/>
      <w:marTop w:val="0"/>
      <w:marBottom w:val="0"/>
      <w:divBdr>
        <w:top w:val="none" w:sz="0" w:space="0" w:color="auto"/>
        <w:left w:val="none" w:sz="0" w:space="0" w:color="auto"/>
        <w:bottom w:val="none" w:sz="0" w:space="0" w:color="auto"/>
        <w:right w:val="none" w:sz="0" w:space="0" w:color="auto"/>
      </w:divBdr>
    </w:div>
    <w:div w:id="517155810">
      <w:bodyDiv w:val="1"/>
      <w:marLeft w:val="0"/>
      <w:marRight w:val="0"/>
      <w:marTop w:val="0"/>
      <w:marBottom w:val="0"/>
      <w:divBdr>
        <w:top w:val="none" w:sz="0" w:space="0" w:color="auto"/>
        <w:left w:val="none" w:sz="0" w:space="0" w:color="auto"/>
        <w:bottom w:val="none" w:sz="0" w:space="0" w:color="auto"/>
        <w:right w:val="none" w:sz="0" w:space="0" w:color="auto"/>
      </w:divBdr>
    </w:div>
    <w:div w:id="709301102">
      <w:bodyDiv w:val="1"/>
      <w:marLeft w:val="0"/>
      <w:marRight w:val="0"/>
      <w:marTop w:val="0"/>
      <w:marBottom w:val="0"/>
      <w:divBdr>
        <w:top w:val="none" w:sz="0" w:space="0" w:color="auto"/>
        <w:left w:val="none" w:sz="0" w:space="0" w:color="auto"/>
        <w:bottom w:val="none" w:sz="0" w:space="0" w:color="auto"/>
        <w:right w:val="none" w:sz="0" w:space="0" w:color="auto"/>
      </w:divBdr>
    </w:div>
    <w:div w:id="730924547">
      <w:bodyDiv w:val="1"/>
      <w:marLeft w:val="0"/>
      <w:marRight w:val="0"/>
      <w:marTop w:val="0"/>
      <w:marBottom w:val="0"/>
      <w:divBdr>
        <w:top w:val="none" w:sz="0" w:space="0" w:color="auto"/>
        <w:left w:val="none" w:sz="0" w:space="0" w:color="auto"/>
        <w:bottom w:val="none" w:sz="0" w:space="0" w:color="auto"/>
        <w:right w:val="none" w:sz="0" w:space="0" w:color="auto"/>
      </w:divBdr>
    </w:div>
    <w:div w:id="826484003">
      <w:bodyDiv w:val="1"/>
      <w:marLeft w:val="0"/>
      <w:marRight w:val="0"/>
      <w:marTop w:val="0"/>
      <w:marBottom w:val="0"/>
      <w:divBdr>
        <w:top w:val="none" w:sz="0" w:space="0" w:color="auto"/>
        <w:left w:val="none" w:sz="0" w:space="0" w:color="auto"/>
        <w:bottom w:val="none" w:sz="0" w:space="0" w:color="auto"/>
        <w:right w:val="none" w:sz="0" w:space="0" w:color="auto"/>
      </w:divBdr>
    </w:div>
    <w:div w:id="1049571167">
      <w:bodyDiv w:val="1"/>
      <w:marLeft w:val="0"/>
      <w:marRight w:val="0"/>
      <w:marTop w:val="0"/>
      <w:marBottom w:val="0"/>
      <w:divBdr>
        <w:top w:val="none" w:sz="0" w:space="0" w:color="auto"/>
        <w:left w:val="none" w:sz="0" w:space="0" w:color="auto"/>
        <w:bottom w:val="none" w:sz="0" w:space="0" w:color="auto"/>
        <w:right w:val="none" w:sz="0" w:space="0" w:color="auto"/>
      </w:divBdr>
    </w:div>
    <w:div w:id="1156729185">
      <w:bodyDiv w:val="1"/>
      <w:marLeft w:val="0"/>
      <w:marRight w:val="0"/>
      <w:marTop w:val="0"/>
      <w:marBottom w:val="0"/>
      <w:divBdr>
        <w:top w:val="none" w:sz="0" w:space="0" w:color="auto"/>
        <w:left w:val="none" w:sz="0" w:space="0" w:color="auto"/>
        <w:bottom w:val="none" w:sz="0" w:space="0" w:color="auto"/>
        <w:right w:val="none" w:sz="0" w:space="0" w:color="auto"/>
      </w:divBdr>
    </w:div>
    <w:div w:id="1248342691">
      <w:bodyDiv w:val="1"/>
      <w:marLeft w:val="0"/>
      <w:marRight w:val="0"/>
      <w:marTop w:val="0"/>
      <w:marBottom w:val="0"/>
      <w:divBdr>
        <w:top w:val="none" w:sz="0" w:space="0" w:color="auto"/>
        <w:left w:val="none" w:sz="0" w:space="0" w:color="auto"/>
        <w:bottom w:val="none" w:sz="0" w:space="0" w:color="auto"/>
        <w:right w:val="none" w:sz="0" w:space="0" w:color="auto"/>
      </w:divBdr>
    </w:div>
    <w:div w:id="1350907305">
      <w:bodyDiv w:val="1"/>
      <w:marLeft w:val="0"/>
      <w:marRight w:val="0"/>
      <w:marTop w:val="0"/>
      <w:marBottom w:val="0"/>
      <w:divBdr>
        <w:top w:val="none" w:sz="0" w:space="0" w:color="auto"/>
        <w:left w:val="none" w:sz="0" w:space="0" w:color="auto"/>
        <w:bottom w:val="none" w:sz="0" w:space="0" w:color="auto"/>
        <w:right w:val="none" w:sz="0" w:space="0" w:color="auto"/>
      </w:divBdr>
    </w:div>
    <w:div w:id="1556624291">
      <w:bodyDiv w:val="1"/>
      <w:marLeft w:val="0"/>
      <w:marRight w:val="0"/>
      <w:marTop w:val="0"/>
      <w:marBottom w:val="0"/>
      <w:divBdr>
        <w:top w:val="none" w:sz="0" w:space="0" w:color="auto"/>
        <w:left w:val="none" w:sz="0" w:space="0" w:color="auto"/>
        <w:bottom w:val="none" w:sz="0" w:space="0" w:color="auto"/>
        <w:right w:val="none" w:sz="0" w:space="0" w:color="auto"/>
      </w:divBdr>
    </w:div>
    <w:div w:id="1696080055">
      <w:bodyDiv w:val="1"/>
      <w:marLeft w:val="0"/>
      <w:marRight w:val="0"/>
      <w:marTop w:val="0"/>
      <w:marBottom w:val="0"/>
      <w:divBdr>
        <w:top w:val="none" w:sz="0" w:space="0" w:color="auto"/>
        <w:left w:val="none" w:sz="0" w:space="0" w:color="auto"/>
        <w:bottom w:val="none" w:sz="0" w:space="0" w:color="auto"/>
        <w:right w:val="none" w:sz="0" w:space="0" w:color="auto"/>
      </w:divBdr>
    </w:div>
    <w:div w:id="1774587971">
      <w:bodyDiv w:val="1"/>
      <w:marLeft w:val="0"/>
      <w:marRight w:val="0"/>
      <w:marTop w:val="0"/>
      <w:marBottom w:val="0"/>
      <w:divBdr>
        <w:top w:val="none" w:sz="0" w:space="0" w:color="auto"/>
        <w:left w:val="none" w:sz="0" w:space="0" w:color="auto"/>
        <w:bottom w:val="none" w:sz="0" w:space="0" w:color="auto"/>
        <w:right w:val="none" w:sz="0" w:space="0" w:color="auto"/>
      </w:divBdr>
    </w:div>
    <w:div w:id="2013029215">
      <w:bodyDiv w:val="1"/>
      <w:marLeft w:val="0"/>
      <w:marRight w:val="0"/>
      <w:marTop w:val="0"/>
      <w:marBottom w:val="0"/>
      <w:divBdr>
        <w:top w:val="none" w:sz="0" w:space="0" w:color="auto"/>
        <w:left w:val="none" w:sz="0" w:space="0" w:color="auto"/>
        <w:bottom w:val="none" w:sz="0" w:space="0" w:color="auto"/>
        <w:right w:val="none" w:sz="0" w:space="0" w:color="auto"/>
      </w:divBdr>
    </w:div>
    <w:div w:id="207724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4D031-700F-4D5D-9754-EA72DABE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Шаманский В.А.</dc:creator>
  <cp:keywords/>
  <dc:description/>
  <cp:lastModifiedBy>Шаманский Владислав</cp:lastModifiedBy>
  <cp:revision>28</cp:revision>
  <dcterms:created xsi:type="dcterms:W3CDTF">2014-04-17T10:58:00Z</dcterms:created>
  <dcterms:modified xsi:type="dcterms:W3CDTF">2018-04-12T13:13:00Z</dcterms:modified>
</cp:coreProperties>
</file>