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EC0E3B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EC0E3B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02.19.01.31</w:t>
            </w:r>
            <w:r>
              <w:rPr>
                <w:b/>
              </w:rPr>
              <w:t xml:space="preserve"> / </w:t>
            </w:r>
            <w:r>
              <w:t>18.12.19.190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Услуги по изготовлению и тиражированию полиграфической продукции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120,00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EC0E3B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02.19.01.31</w:t>
            </w:r>
            <w:r>
              <w:rPr>
                <w:b/>
              </w:rPr>
              <w:t xml:space="preserve"> / </w:t>
            </w:r>
            <w:r>
              <w:t>18.12.19.190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Услуги по изготовлению и тиражированию полиграфической продукции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100,00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EC0E3B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C0E3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C0E3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EC0E3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836EA1" w:rsidRDefault="00C40026">
            <w:pPr>
              <w:pStyle w:val="af5"/>
              <w:rPr>
                <w:rFonts w:eastAsia="Times New Roman"/>
              </w:rPr>
            </w:pPr>
            <w:r w:rsidRPr="00836EA1">
              <w:rPr>
                <w:u w:val="single"/>
              </w:rPr>
              <w:t>ГАУ СО МО «КЦСОиР «Серебряно-Прудский»</w:t>
            </w:r>
            <w:r w:rsidRPr="00836EA1">
              <w:rPr>
                <w:rFonts w:ascii="&amp;quot" w:hAnsi="&amp;quot"/>
              </w:rPr>
              <w:t>__________</w:t>
            </w:r>
            <w:r w:rsidRPr="00836EA1">
              <w:rPr>
                <w:rFonts w:eastAsia="Times New Roman"/>
              </w:rPr>
              <w:t>/</w:t>
            </w:r>
            <w:r w:rsidRPr="00836EA1">
              <w:rPr>
                <w:rFonts w:eastAsia="Times New Roman"/>
                <w:u w:val="single"/>
              </w:rPr>
              <w:t>Е. А. Родионочева</w:t>
            </w:r>
            <w:r w:rsidRPr="00836EA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EC0E3B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EC0E3B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Поставка и изготовление дневников посещения обслуживаемых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EC0E3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EC0E3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34747E" w:rsidRDefault="00E870E6" w:rsidP="0034747E">
            <w:pPr>
              <w:ind w:firstLine="0"/>
            </w:pPr>
            <w:r w:rsidRPr="0034747E">
              <w:t>Услуги по изготовлению и тиражированию полиграфической продукции; 100,00; Условная единица;</w:t>
            </w:r>
            <w:r w:rsidR="00D55812" w:rsidRPr="0034747E">
              <w:t xml:space="preserve"> 31 533,00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Услуги по изготовлению и тиражированию полиграфической продукции; 120,00; Условная единица;</w:t>
            </w:r>
            <w:r w:rsidR="00D55812" w:rsidRPr="0034747E">
              <w:t xml:space="preserve"> 45 200,40 руб.</w:t>
            </w:r>
            <w:r w:rsidR="0034747E">
              <w:t>*</w:t>
            </w:r>
          </w:p>
        </w:tc>
      </w:tr>
      <w:tr w:rsidR="00EC0E3B">
        <w:tc>
          <w:tcPr>
            <w:tcW w:w="330" w:type="pct"/>
            <w:vMerge/>
          </w:tcPr>
          <w:p w:rsidR="00473384" w:rsidRPr="00836EA1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836EA1" w:rsidRDefault="00473384" w:rsidP="00473384">
            <w:pPr>
              <w:ind w:firstLine="0"/>
            </w:pPr>
          </w:p>
          <w:p w:rsidR="00473384" w:rsidRPr="00836EA1" w:rsidRDefault="00473384" w:rsidP="00473384">
            <w:pPr>
              <w:ind w:firstLine="0"/>
            </w:pPr>
            <w:r w:rsidRPr="00836EA1">
              <w:rPr>
                <w:b/>
              </w:rPr>
              <w:t>Срок начала исполнения обязательства:</w:t>
            </w:r>
            <w:r w:rsidR="00B33A8D" w:rsidRPr="00836EA1">
              <w:t xml:space="preserve"> </w:t>
            </w:r>
            <w:r w:rsidRPr="00836EA1">
              <w:t>0 дн. от даты заключения договора;</w:t>
            </w:r>
          </w:p>
          <w:p w:rsidR="00473384" w:rsidRPr="00836EA1" w:rsidRDefault="00473384" w:rsidP="00473384">
            <w:pPr>
              <w:ind w:firstLine="0"/>
            </w:pPr>
            <w:r w:rsidRPr="00836EA1">
              <w:rPr>
                <w:b/>
              </w:rPr>
              <w:t>Срок окончания исполнения обязательства:</w:t>
            </w:r>
            <w:r w:rsidR="00B33A8D" w:rsidRPr="00836EA1">
              <w:t xml:space="preserve"> </w:t>
            </w:r>
            <w:r w:rsidRPr="00836EA1">
              <w:t>31.12.2022 (МСК);</w:t>
            </w:r>
          </w:p>
        </w:tc>
      </w:tr>
    </w:tbl>
    <w:p w:rsidR="00C12237" w:rsidRPr="00836EA1" w:rsidRDefault="00C12237" w:rsidP="00C12237">
      <w:pPr>
        <w:ind w:firstLine="0"/>
      </w:pPr>
    </w:p>
    <w:p w:rsidR="00D33546" w:rsidRPr="00836EA1" w:rsidRDefault="00D33546" w:rsidP="00C12237">
      <w:pPr>
        <w:ind w:firstLine="0"/>
      </w:pPr>
    </w:p>
    <w:p w:rsidR="0034747E" w:rsidRPr="007C0F1D" w:rsidRDefault="0034747E" w:rsidP="0034747E">
      <w:pPr>
        <w:ind w:firstLine="0"/>
      </w:pPr>
      <w:r w:rsidRPr="007C0F1D">
        <w:t xml:space="preserve">* </w:t>
      </w:r>
      <w:r>
        <w:t>На</w:t>
      </w:r>
      <w:r w:rsidRPr="007C0F1D">
        <w:t xml:space="preserve"> этапе </w:t>
      </w:r>
      <w:r>
        <w:t>заключения</w:t>
      </w:r>
      <w:r w:rsidRPr="007C0F1D">
        <w:t xml:space="preserve"> </w:t>
      </w:r>
      <w:r>
        <w:t>договора</w:t>
      </w:r>
      <w:r w:rsidRPr="007C0F1D">
        <w:t xml:space="preserve"> </w:t>
      </w:r>
      <w:r w:rsidRPr="0034747E">
        <w:t>уточняется в соответствии с предложением участника закупки</w:t>
      </w:r>
      <w:r w:rsidRPr="007C0F1D">
        <w:t>.</w:t>
      </w:r>
    </w:p>
    <w:p w:rsidR="0034747E" w:rsidRPr="0034747E" w:rsidRDefault="0034747E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836EA1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EC0E3B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EC0E3B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Pr="00836EA1" w:rsidRDefault="00C40026">
            <w:pPr>
              <w:pStyle w:val="aff2"/>
            </w:pPr>
            <w:r w:rsidRPr="006C3750">
              <w:t>Оплата за Поставку и изготовление дневников посещения обслуживаемых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EC0E3B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836EA1" w:rsidRDefault="00C40026">
            <w:pPr>
              <w:pStyle w:val="aff2"/>
            </w:pPr>
            <w:r w:rsidRPr="00836EA1">
              <w:rPr>
                <w:b/>
              </w:rPr>
              <w:t>Срок исполнения обязательства:</w:t>
            </w:r>
            <w:r w:rsidRPr="00836EA1">
              <w:t>10 раб. дн. от даты подписания документа-предшественника «Товарная накладная (ТОРГ-12, унифицированный формат, приказ ФНС России от 30.11.2015 г. № ММВ-7-10/551@)» (Поставка и изготовление дневников посещения обслуживаемых);</w:t>
            </w:r>
          </w:p>
        </w:tc>
      </w:tr>
    </w:tbl>
    <w:p w:rsidR="00B94160" w:rsidRPr="00836EA1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оказания услуг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EC0E3B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оказания услуг</w:t>
            </w:r>
          </w:p>
        </w:tc>
      </w:tr>
      <w:tr w:rsidR="00EC0E3B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836EA1" w:rsidRDefault="00C40026">
            <w:pPr>
              <w:ind w:firstLine="0"/>
            </w:pPr>
            <w:r w:rsidRPr="00836EA1">
              <w:t>Государственное автономное учреждение социального обслуживания Московской области «Комплексный центр социального обслуживания и реабилитации «Серебряно-Прудский»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 w:rsidRPr="00836EA1">
              <w:t xml:space="preserve">142970, Московская область, р.п. Серебряные Пруды, ул. </w:t>
            </w:r>
            <w:r>
              <w:rPr>
                <w:lang w:val="en-US"/>
              </w:rPr>
              <w:t>Привокзальная, д.2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C0E3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C0E3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EC0E3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836EA1" w:rsidRDefault="00C40026">
            <w:pPr>
              <w:pStyle w:val="af5"/>
              <w:rPr>
                <w:rFonts w:eastAsia="Times New Roman"/>
              </w:rPr>
            </w:pPr>
            <w:r w:rsidRPr="00836EA1">
              <w:rPr>
                <w:u w:val="single"/>
              </w:rPr>
              <w:t>ГАУ СО МО «КЦСОиР «Серебряно-Прудский»</w:t>
            </w:r>
            <w:r w:rsidRPr="00836EA1">
              <w:rPr>
                <w:rFonts w:ascii="&amp;quot" w:hAnsi="&amp;quot"/>
              </w:rPr>
              <w:t>__________</w:t>
            </w:r>
            <w:r w:rsidRPr="00836EA1">
              <w:rPr>
                <w:rFonts w:eastAsia="Times New Roman"/>
              </w:rPr>
              <w:t>/</w:t>
            </w:r>
            <w:r w:rsidRPr="00836EA1">
              <w:rPr>
                <w:rFonts w:eastAsia="Times New Roman"/>
                <w:u w:val="single"/>
              </w:rPr>
              <w:t>Е. А. Родионочева</w:t>
            </w:r>
            <w:r w:rsidRPr="00836EA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EC0E3B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EC0E3B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за Поставку и изготовление дневников посещения обслуживаемых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EC0E3B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и изготовление дневников посещения обслуживаемых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EC0E3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EC0E3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EC0E3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EC0E3B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EC0E3B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и изготовление дневников посещения обслуживаемых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EC0E3B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EC0E3B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EC0E3B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и изготовление дневников посещения обслуживаемых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C0E3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C0E3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EC0E3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836EA1" w:rsidRDefault="00C40026">
            <w:pPr>
              <w:pStyle w:val="af5"/>
              <w:rPr>
                <w:rFonts w:eastAsia="Times New Roman"/>
              </w:rPr>
            </w:pPr>
            <w:r w:rsidRPr="00836EA1">
              <w:rPr>
                <w:u w:val="single"/>
              </w:rPr>
              <w:t>ГАУ СО МО «КЦСОиР «Серебряно-Прудский»</w:t>
            </w:r>
            <w:r w:rsidRPr="00836EA1">
              <w:rPr>
                <w:rFonts w:ascii="&amp;quot" w:hAnsi="&amp;quot"/>
              </w:rPr>
              <w:t>__________</w:t>
            </w:r>
            <w:r w:rsidRPr="00836EA1">
              <w:rPr>
                <w:rFonts w:eastAsia="Times New Roman"/>
              </w:rPr>
              <w:t>/</w:t>
            </w:r>
            <w:r w:rsidRPr="00836EA1">
              <w:rPr>
                <w:rFonts w:eastAsia="Times New Roman"/>
                <w:u w:val="single"/>
              </w:rPr>
              <w:t>Е. А. Родионочева</w:t>
            </w:r>
            <w:r w:rsidRPr="00836EA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EC0E3B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EC0E3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EC0E3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EC0E3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EC0E3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EC0E3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EC0E3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EC0E3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C0E3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C0E3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EC0E3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836EA1" w:rsidRDefault="00C40026">
            <w:pPr>
              <w:pStyle w:val="af5"/>
              <w:rPr>
                <w:rFonts w:eastAsia="Times New Roman"/>
              </w:rPr>
            </w:pPr>
            <w:r w:rsidRPr="00836EA1">
              <w:rPr>
                <w:u w:val="single"/>
              </w:rPr>
              <w:t>ГАУ СО МО «КЦСОиР «Серебряно-Прудский»</w:t>
            </w:r>
            <w:r w:rsidRPr="00836EA1">
              <w:rPr>
                <w:rFonts w:ascii="&amp;quot" w:hAnsi="&amp;quot"/>
              </w:rPr>
              <w:t>__________</w:t>
            </w:r>
            <w:r w:rsidRPr="00836EA1">
              <w:rPr>
                <w:rFonts w:eastAsia="Times New Roman"/>
              </w:rPr>
              <w:t>/</w:t>
            </w:r>
            <w:r w:rsidRPr="00836EA1">
              <w:rPr>
                <w:rFonts w:eastAsia="Times New Roman"/>
                <w:u w:val="single"/>
              </w:rPr>
              <w:t>Е. А. Родионочева</w:t>
            </w:r>
            <w:r w:rsidRPr="00836EA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857" w:rsidRDefault="00006857">
      <w:r>
        <w:separator/>
      </w:r>
    </w:p>
  </w:endnote>
  <w:endnote w:type="continuationSeparator" w:id="0">
    <w:p w:rsidR="00006857" w:rsidRDefault="0000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836EA1">
      <w:rPr>
        <w:noProof/>
      </w:rPr>
      <w:t>2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ЕАСУЗ:044847-22</w:t>
    </w:r>
  </w:p>
  <w:p w:rsidR="00E870E6" w:rsidRDefault="00E870E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E870E6" w:rsidRDefault="00E870E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857" w:rsidRDefault="00006857">
      <w:r>
        <w:separator/>
      </w:r>
    </w:p>
  </w:footnote>
  <w:footnote w:type="continuationSeparator" w:id="0">
    <w:p w:rsidR="00006857" w:rsidRDefault="00006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857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6A2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16B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75C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47E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D7FC6"/>
    <w:rsid w:val="007E1C28"/>
    <w:rsid w:val="007E1DCB"/>
    <w:rsid w:val="007E3922"/>
    <w:rsid w:val="007E39A4"/>
    <w:rsid w:val="007E3A8F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36EA1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812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0E3B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543A52-D417-480B-A0CD-B98C7AB801B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2859</Words>
  <Characters>16300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Александра</cp:lastModifiedBy>
  <cp:revision>2</cp:revision>
  <cp:lastPrinted>2016-02-16T07:09:00Z</cp:lastPrinted>
  <dcterms:created xsi:type="dcterms:W3CDTF">2022-03-01T06:08:00Z</dcterms:created>
  <dcterms:modified xsi:type="dcterms:W3CDTF">2022-03-01T06:08:00Z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