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1F71C5">
        <w:rPr>
          <w:rFonts w:ascii="Times New Roman" w:hAnsi="Times New Roman" w:cs="Times New Roman"/>
          <w:b/>
          <w:sz w:val="28"/>
          <w:szCs w:val="28"/>
        </w:rPr>
        <w:t>О.В. Калинина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1F71C5">
        <w:rPr>
          <w:rFonts w:ascii="Times New Roman" w:hAnsi="Times New Roman" w:cs="Times New Roman"/>
          <w:b/>
          <w:sz w:val="28"/>
          <w:szCs w:val="28"/>
        </w:rPr>
        <w:t>02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F71C5">
        <w:rPr>
          <w:rFonts w:ascii="Times New Roman" w:hAnsi="Times New Roman" w:cs="Times New Roman"/>
          <w:b/>
          <w:sz w:val="28"/>
          <w:szCs w:val="28"/>
        </w:rPr>
        <w:t>декабря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1F71C5">
        <w:rPr>
          <w:rFonts w:ascii="Times New Roman" w:hAnsi="Times New Roman" w:cs="Times New Roman"/>
          <w:b/>
          <w:sz w:val="28"/>
          <w:szCs w:val="28"/>
        </w:rPr>
        <w:t>1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0133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1F71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0133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1F71C5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1F71C5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71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Оказание услуг по освидетельствованию лифтов, выполнению электроизмерительных работ, измерению сопротивления петли «фаза-нуль» в 2022 году» в многоквартирных домах, обслуживаемых Акционерным обществом «Управляющая компания «Жилой дом» 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1F71C5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выполнения работ: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Pr="00783DD0">
              <w:rPr>
                <w:iCs/>
              </w:rPr>
              <w:t xml:space="preserve"> по </w:t>
            </w:r>
            <w:r w:rsidR="00590BAE" w:rsidRPr="00783DD0">
              <w:rPr>
                <w:iCs/>
              </w:rPr>
              <w:t>31.12.</w:t>
            </w:r>
            <w:r w:rsidRPr="00783DD0">
              <w:rPr>
                <w:iCs/>
              </w:rPr>
              <w:t>20</w:t>
            </w:r>
            <w:r w:rsidR="00590BAE" w:rsidRPr="00783DD0">
              <w:rPr>
                <w:iCs/>
              </w:rPr>
              <w:t>2</w:t>
            </w:r>
            <w:r w:rsidR="001F71C5">
              <w:rPr>
                <w:iCs/>
              </w:rPr>
              <w:t>2</w:t>
            </w:r>
            <w:r w:rsidRPr="00783DD0">
              <w:rPr>
                <w:iCs/>
              </w:rPr>
              <w:t>г.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1F71C5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1F71C5">
              <w:t xml:space="preserve">1 097 265 </w:t>
            </w:r>
            <w:r w:rsidR="00AE555A" w:rsidRPr="00783DD0">
              <w:t>(</w:t>
            </w:r>
            <w:r w:rsidR="000B762E">
              <w:t>Один</w:t>
            </w:r>
            <w:r w:rsidR="00AE555A" w:rsidRPr="00783DD0">
              <w:t xml:space="preserve"> миллион </w:t>
            </w:r>
            <w:r>
              <w:t>девяносто семь тысяч двести шестьдесят пять</w:t>
            </w:r>
            <w:r w:rsidR="00AE555A" w:rsidRPr="00783DD0">
              <w:t>) рубл</w:t>
            </w:r>
            <w:r>
              <w:t>ей</w:t>
            </w:r>
            <w:r w:rsidR="00AE555A" w:rsidRPr="00783DD0">
              <w:t xml:space="preserve"> </w:t>
            </w:r>
            <w:r>
              <w:t>12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1F71C5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1F71C5">
              <w:t>Цена Договора указана с учетом всех расходов Исполнителя, связанных с оказанием услуг, в том числе расходы на материалы, транспортные услуги, страхование, услуги субподрядных организаций, а также расходы на уплату налогов, сборов и других обязательных платежей</w:t>
            </w:r>
            <w:r w:rsidR="00930FEA" w:rsidRPr="00783DD0">
              <w:t>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1F7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83DD0" w:rsidRDefault="00706A7A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21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по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декабря 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706A7A" w:rsidRPr="00783DD0" w:rsidRDefault="00706A7A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706A7A" w:rsidRPr="00706A7A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OLE_LINK111"/>
            <w:bookmarkStart w:id="1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«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по «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bookmarkStart w:id="2" w:name="_GoBack"/>
            <w:bookmarkEnd w:id="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0"/>
          <w:bookmarkEnd w:id="1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OLE_LINK115"/>
            <w:bookmarkStart w:id="4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OLE_LINK113"/>
            <w:bookmarkStart w:id="6" w:name="OLE_LINK114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5"/>
          <w:bookmarkEnd w:id="6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вторых 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подведения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декабря 20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</w:t>
            </w:r>
            <w:r w:rsidR="004D42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0133C5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133C5"/>
    <w:rsid w:val="000347D1"/>
    <w:rsid w:val="000B762E"/>
    <w:rsid w:val="000F5594"/>
    <w:rsid w:val="00110A97"/>
    <w:rsid w:val="00132551"/>
    <w:rsid w:val="0013373F"/>
    <w:rsid w:val="00141504"/>
    <w:rsid w:val="001A6DAA"/>
    <w:rsid w:val="001F71C5"/>
    <w:rsid w:val="002C487B"/>
    <w:rsid w:val="00314A0E"/>
    <w:rsid w:val="003324AB"/>
    <w:rsid w:val="003A078D"/>
    <w:rsid w:val="003C04DF"/>
    <w:rsid w:val="004D4286"/>
    <w:rsid w:val="00511B91"/>
    <w:rsid w:val="00545F00"/>
    <w:rsid w:val="00590BAE"/>
    <w:rsid w:val="005C295A"/>
    <w:rsid w:val="005F0C67"/>
    <w:rsid w:val="006E5DBB"/>
    <w:rsid w:val="00706A7A"/>
    <w:rsid w:val="007263BE"/>
    <w:rsid w:val="00783DD0"/>
    <w:rsid w:val="007902F5"/>
    <w:rsid w:val="008477A1"/>
    <w:rsid w:val="00930FEA"/>
    <w:rsid w:val="009456BB"/>
    <w:rsid w:val="009A70C2"/>
    <w:rsid w:val="00A0311A"/>
    <w:rsid w:val="00A57DFF"/>
    <w:rsid w:val="00AE555A"/>
    <w:rsid w:val="00B04CE3"/>
    <w:rsid w:val="00B17265"/>
    <w:rsid w:val="00B5324F"/>
    <w:rsid w:val="00BE6C7E"/>
    <w:rsid w:val="00C60280"/>
    <w:rsid w:val="00C73385"/>
    <w:rsid w:val="00CD645F"/>
    <w:rsid w:val="00D955A6"/>
    <w:rsid w:val="00E94CD7"/>
    <w:rsid w:val="00EF7A0E"/>
    <w:rsid w:val="00F02B0C"/>
    <w:rsid w:val="00F1423D"/>
    <w:rsid w:val="00F228BB"/>
    <w:rsid w:val="00F458A4"/>
    <w:rsid w:val="00F77CCA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36</cp:revision>
  <cp:lastPrinted>2021-12-02T10:43:00Z</cp:lastPrinted>
  <dcterms:created xsi:type="dcterms:W3CDTF">2016-06-15T14:13:00Z</dcterms:created>
  <dcterms:modified xsi:type="dcterms:W3CDTF">2021-12-02T10:50:00Z</dcterms:modified>
</cp:coreProperties>
</file>