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01.21.02.08.01.06.03.13.01.01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НИВОЛУМАБ</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(Ниволумаб)</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НИВОЛУМАБ</w:t>
            </w:r>
            <w:r w:rsidRPr="00445533" w:rsidR="00E870E6">
              <w:t xml:space="preserve">; </w:t>
            </w:r>
            <w:r w:rsidRPr="00445533" w:rsidR="00E870E6">
              <w:t>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2 642 298,90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поставленных лекарственных препаратов (Ниволумаб)</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(Ниволумаб))</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поставленных лекарственных препаратов (Ниволумаб)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(Ниволумаб)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(Ниволумаб)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(Ниволумаб)</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(Ниволумаб)</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056953-22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