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081623-22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медицинских установок</w:t>
      </w:r>
    </w:p>
    <w:p w:rsidR="007C3BF1" w:rsidRDefault="000F58E5">
      <w:pPr>
        <w:ind w:left="1418"/>
      </w:pPr>
      <w:r w:rsidR="008C2287">
        <w:t xml:space="preserve">Цена </w:t>
      </w:r>
      <w:r w:rsidR="008C2287">
        <w:t>договора</w:t>
      </w:r>
      <w:r w:rsidR="008C2287">
        <w:t>, руб.:</w:t>
      </w:r>
      <w:r w:rsidR="001406FC">
        <w:t xml:space="preserve"> </w:t>
      </w:r>
      <w:r w:rsidR="008C2287">
        <w:t>923 439,99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02.25.02.01</w:t>
            </w:r>
            <w:r w:rsidRPr="00C15977" w:rsidR="00791254">
              <w:rPr>
                <w:b/>
                <w:lang w:val="en-US"/>
              </w:rPr>
              <w:t xml:space="preserve"> / </w:t>
            </w:r>
            <w:r w:rsidRPr="00C15977" w:rsidR="00791254">
              <w:rPr>
                <w:lang w:val="en-US"/>
              </w:rPr>
              <w:t>33.12.29.900</w:t>
            </w:r>
            <w:r w:rsidRPr="00415D72" w:rsidR="00415D72">
              <w:rPr>
                <w:lang w:val="en-US"/>
              </w:rPr>
              <w:t xml:space="preserve"> </w:t>
            </w:r>
          </w:p>
        </w:tc>
        <w:tc>
          <w:tcPr>
            <w:tcW w:w="3003" w:type="dxa"/>
            <w:shd w:val="clear" w:color="auto" w:fill="auto"/>
          </w:tcPr>
          <w:p w:rsidR="007C3BF1" w:rsidRDefault="000F58E5">
            <w:pPr>
              <w:pStyle w:val="a8"/>
            </w:pPr>
            <w:r w:rsidR="008C2287">
              <w:t>Услуги по техническому обслуживанию медицинских изделий (оборудования, аппаратуры)</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медицинских изделий (оборудования, аппаратуры)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F58E5">
            <w:pPr>
              <w:pStyle w:val="a8"/>
              <w:rPr>
                <w:lang w:val="en-US"/>
              </w:rPr>
            </w:pPr>
            <w:r w:rsidRPr="000B5400" w:rsidR="008C2287">
              <w:rPr>
                <w:lang w:val="en-US"/>
              </w:rPr>
              <w:t>01.10.2022 (МСК)</w:t>
            </w:r>
          </w:p>
        </w:tc>
        <w:tc>
          <w:tcPr>
            <w:tcW w:w="629" w:type="pct"/>
            <w:shd w:val="clear" w:color="auto" w:fill="auto"/>
          </w:tcPr>
          <w:p w:rsidRPr="000B5400" w:rsidR="007C3BF1" w:rsidRDefault="000F58E5">
            <w:pPr>
              <w:pStyle w:val="a8"/>
              <w:rPr>
                <w:lang w:val="en-US"/>
              </w:rPr>
            </w:pPr>
            <w:r w:rsidRPr="000B5400" w:rsidR="008C2287">
              <w:rPr>
                <w:lang w:val="en-US"/>
              </w:rPr>
              <w:t>31.12.2022 (МСК)</w:t>
            </w:r>
          </w:p>
        </w:tc>
        <w:tc>
          <w:tcPr>
            <w:tcW w:w="622" w:type="pct"/>
            <w:shd w:val="clear" w:color="auto" w:fill="auto"/>
          </w:tcPr>
          <w:p w:rsidRPr="000B5400" w:rsidR="007C3BF1" w:rsidRDefault="000F58E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0F58E5">
            <w:pPr>
              <w:pStyle w:val="a8"/>
              <w:rPr>
                <w:lang w:val="en-US"/>
              </w:rPr>
            </w:pPr>
            <w:r w:rsidRPr="000B5400" w:rsidR="008C2287">
              <w:rPr>
                <w:lang w:val="en-US"/>
              </w:rPr>
              <w:t>Подрядчик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медицинских установок</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выполнение работ по техническому обслуживанию и ремонту медицинских установок</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Подрядчик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медицинских установок</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медицинских установок</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