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101156-22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(Средства для ингаляционного наркоза)</w:t>
      </w:r>
    </w:p>
    <w:p w:rsidR="007C3BF1" w:rsidRDefault="00943E25">
      <w:pPr>
        <w:ind w:left="1418"/>
      </w:pPr>
      <w:r w:rsidR="008C2287">
        <w:t xml:space="preserve">Цена </w:t>
      </w:r>
      <w:r w:rsidR="008C2287">
        <w:t>договора</w:t>
      </w:r>
      <w:r w:rsidR="008C2287">
        <w:t>, руб.:</w:t>
      </w:r>
      <w:r w:rsidR="001406FC">
        <w:t xml:space="preserve"> </w:t>
      </w:r>
      <w:r w:rsidR="008C2287">
        <w:t>1 074 949,92</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01.21.02.10.01.01.02.05.01.01</w:t>
            </w:r>
            <w:r w:rsidRPr="00C15977">
              <w:rPr>
                <w:b/>
                <w:lang w:val="en-US"/>
              </w:rPr>
              <w:t xml:space="preserve"> / </w:t>
            </w:r>
            <w:r w:rsidRPr="00C15977">
              <w:rPr>
                <w:lang w:val="en-US"/>
              </w:rPr>
              <w:t>21.20.10.231</w:t>
            </w:r>
          </w:p>
        </w:tc>
        <w:tc>
          <w:tcPr>
            <w:tcW w:w="3003" w:type="dxa"/>
            <w:shd w:val="clear" w:color="auto" w:fill="auto"/>
          </w:tcPr>
          <w:p w:rsidR="007C3BF1" w:rsidRDefault="00943E25">
            <w:pPr>
              <w:pStyle w:val="a8"/>
            </w:pPr>
            <w:r w:rsidR="008C2287">
              <w:t>Севофлуран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144,00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лекарственных препаратов (Средства для ингаляционного наркоза)</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Севофлуран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144,00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лекарственных препаратов (Средства для ингаляционного наркоза)</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лекарственных препаратов (Средства для ингаляционного наркоза))</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лекарственных препаратов (Средства для ингаляционного наркоза)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лекарственных препаратов (Средства для ингаляционного наркоза)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лекарственных препаратов (Средства для ингаляционного наркоза)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лекарственных препаратов (Средства для ингаляционного наркоза)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лекарственных препаратов (Средства для ингаляционного наркоза)</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(Средства для ингаляционного наркоза)</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(Средства для ингаляционного наркоза)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(Средства для ингаляционного наркоза)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(Средства для ингаляционного наркоза)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лекарственных препаратов (Средства для ингаляционного наркоза)</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