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16 000,00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01.14.05.76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Воронка лабораторная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лабораторной посуды и принадлежностей</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10 000,00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225,00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12,00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1 500,00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500,00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500,00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500,00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1 000,00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1 000,00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500,00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3 000,00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3 000,00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250,00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6 000,00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8 000,00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Воронка лабораторная</w:t>
            </w:r>
            <w:r w:rsidR="00473384">
              <w:rPr>
                <w:lang w:val="en-US"/>
              </w:rPr>
              <w:t xml:space="preserve">; </w:t>
            </w:r>
            <w:r w:rsidR="00473384">
              <w:rPr>
                <w:lang w:val="en-US"/>
              </w:rPr>
              <w:t>16 000,00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лабораторной посуды и принадлежностей</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лабораторной посуды и принадлежностей)</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лабораторной посуды и принадлежностей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лабораторной посуды и принадлежностей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лабораторной посуды и принадлежностей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лабораторной посуды и принадлежностей</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лабораторной посуды и принадлежностей</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128539-21</w:t>
    </w:r>
  </w:p>
  <w:p w:rsidR="007C410C" w:rsidRDefault="007C410C"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