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Оказание услуг эвакуатора с манипулятором</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"Жилсервис-Посад"</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заместителя генерального директора Александровой Елены Владимировны,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генеральной доверенности № 50 АБ 6050648 от 06.04.2021 г.,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7BDAFE5C" w:rsidR="000E0847" w:rsidRPr="0073212F" w:rsidRDefault="000E0847" w:rsidP="00AE1964">
      <w:pPr>
        <w:pStyle w:val="a1"/>
      </w:pPr>
      <w:r w:rsidRPr="0073212F">
        <w:t xml:space="preserve">Исполнитель обязуется оказать </w:t>
      </w:r>
      <w:r w:rsidR="00DE5EC8" w:rsidRPr="0073212F">
        <w:rPr>
          <w:lang w:eastAsia="en-US"/>
        </w:rPr>
        <w:t xml:space="preserve">Заказчику</w:t>
      </w:r>
      <w:r w:rsidR="00DE5EC8">
        <w:rPr>
          <w:lang w:val="en-US" w:eastAsia="en-US"/>
        </w:rPr>
        <w:t/>
      </w:r>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r w:rsidRPr="0073212F">
        <w:t xml:space="preserve"> обязуется принять и оплатить эти услуги в соответствии с условиями Договора.</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73212F">
        <w:t xml:space="preserve">Договором</w:t>
      </w:r>
      <w:r w:rsidRPr="0073212F">
        <w:t xml:space="preserve">, в том числе приложением 5 «Техническое задание» к Договору.</w:t>
      </w:r>
    </w:p>
    <w:p w14:paraId="653109E6" w14:textId="05C74A17"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0A86083A"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w:t>
      </w:r>
      <w:r w:rsidRPr="0073212F">
        <w:rPr>
          <w:lang w:eastAsia="en-US"/>
        </w:rPr>
        <w:lastRenderedPageBreak/>
        <w:t xml:space="preserve">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7FE0C027"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14D0C7B7" w:rsidR="006F21D3" w:rsidRPr="0073212F" w:rsidRDefault="006F21D3" w:rsidP="006F21D3">
      <w:pPr>
        <w:pStyle w:val="a2"/>
      </w:pPr>
      <w:r w:rsidRPr="0073212F">
        <w:t xml:space="preserve">Требовать от Исполнителя надлежащего исполнения обязательств в соответствии с условиями Договора</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Исполнителя информацию </w:t>
      </w:r>
      <w:r w:rsidR="00A00818" w:rsidRPr="0073212F">
        <w:t xml:space="preserve">о ходе исполнения Исполнителем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r w:rsidRPr="0073212F">
        <w:rPr>
          <w:lang w:val="en-AU"/>
        </w:rPr>
        <w:t/>
      </w:r>
      <w:r w:rsidRPr="0073212F">
        <w:t/>
      </w:r>
      <w:r w:rsidRPr="0073212F">
        <w:rPr>
          <w:lang w:val="en-AU"/>
        </w:rPr>
        <w:t/>
      </w:r>
      <w:r w:rsidRPr="0073212F">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Pr="0073212F"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r w:rsidRPr="0073212F">
        <w:t xml:space="preserve"> сроку предоставить Заказчику результаты исполнения Договора.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w:t>
      </w:r>
      <w:r w:rsidRPr="0073212F">
        <w:lastRenderedPageBreak/>
        <w:t xml:space="preserve">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Исполнителем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E6C3D" w:rsidRPr="00DE6C3D">
        <w:t xml:space="preserve">Договор</w:t>
      </w:r>
      <w:r w:rsidRPr="0073212F">
        <w:t xml:space="preserve">, рассмотреть их, подписать дополнительное соглашение к </w:t>
      </w:r>
      <w:r w:rsidR="00DE6C3D" w:rsidRPr="0073212F">
        <w:t xml:space="preserve">Договору</w:t>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в соответствии с техническим заданием.</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процентов Цены Договора.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w:t>
      </w:r>
      <w:r w:rsidRPr="0073212F">
        <w:rPr>
          <w:lang w:eastAsia="en-US"/>
        </w:rPr>
        <w:lastRenderedPageBreak/>
        <w:t xml:space="preserve">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r w:rsidRPr="0073212F">
        <w:t xml:space="preserve"/>
      </w:r>
      <w:r w:rsidRPr="0073212F">
        <w:rPr>
          <w:lang w:eastAsia="en-US"/>
        </w:rPr>
        <w:t xml:space="preserve"> и принятых Заказчиком, а также размер суммы, перечисленной Заказчиком Исполнителю</w:t>
      </w:r>
      <w:r w:rsidRPr="0073212F">
        <w:t/>
      </w:r>
      <w:r w:rsidRPr="0073212F">
        <w:rPr>
          <w:lang w:val="en-US"/>
        </w:rPr>
        <w:t/>
      </w:r>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lastRenderedPageBreak/>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r>
        <w:t>при снижении Цены Договора без изменения предусмотренных Договором объема услуги, качества оказываемой услуги и иных условий Договора;</w:t>
      </w:r>
    </w:p>
    <w:p>
      <w:r>
        <w:t/>
      </w:r>
    </w:p>
    <w:p>
      <w: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предусмотренного Договором объема услуги Стороны Договора обязаны уменьшить Цену Договора исходя из установленной в Договоре цены единицы услуги;</w:t>
      </w:r>
    </w:p>
    <w:p>
      <w:r>
        <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24BCE588" w:rsidR="009760A3" w:rsidRPr="0073212F"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 xml:space="preserve">ения Договора.</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w:t>
      </w:r>
      <w:r w:rsidRPr="0073212F">
        <w:rPr>
          <w:lang w:eastAsia="en-US"/>
        </w:rPr>
        <w:lastRenderedPageBreak/>
        <w:t xml:space="preserve">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"Жилсервис-Посад"</w:t>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"Жилсервис-Посад"</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142500, Московская область,г.Павловский Посад,ул.Кирова,д.56/1</w:t>
            </w:r>
          </w:p>
          <w:p w14:paraId="127C2A31" w14:textId="77777777" w:rsidR="009942F2" w:rsidRPr="0073212F" w:rsidRDefault="009942F2" w:rsidP="00AD01A5">
            <w:pPr>
              <w:pStyle w:val="a8"/>
            </w:pPr>
            <w:r w:rsidRPr="0073212F">
              <w:t xml:space="preserve">Место нахождения, адрес: 142500, Московская область,г.Павловский Посад,ул.Кирова,д.56/1</w:t>
            </w:r>
          </w:p>
          <w:p w14:paraId="406B476F" w14:textId="77777777" w:rsidR="009942F2" w:rsidRPr="0073212F" w:rsidRDefault="009942F2" w:rsidP="00AD01A5">
            <w:pPr>
              <w:pStyle w:val="a8"/>
            </w:pPr>
            <w:r w:rsidRPr="0073212F">
              <w:t xml:space="preserve">ИНН 5035038357</w:t>
            </w:r>
          </w:p>
          <w:p w14:paraId="6EA0388D" w14:textId="77777777" w:rsidR="009942F2" w:rsidRPr="0073212F" w:rsidRDefault="009942F2" w:rsidP="00AD01A5">
            <w:pPr>
              <w:pStyle w:val="a8"/>
            </w:pPr>
            <w:r w:rsidRPr="0073212F">
              <w:t xml:space="preserve">КПП 503501001</w:t>
            </w:r>
          </w:p>
          <w:p w14:paraId="13A66127" w14:textId="77777777" w:rsidR="009942F2" w:rsidRPr="0073212F" w:rsidRDefault="009942F2" w:rsidP="00AD01A5">
            <w:pPr>
              <w:pStyle w:val="a8"/>
            </w:pPr>
            <w:r w:rsidRPr="0073212F">
              <w:t xml:space="preserve">ОГРН 1095035000345</w:t>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bookmarkStart w:id="6" w:name="_GoBack"/>
            <w:bookmarkEnd w:id="6"/>
            <w:r w:rsidRPr="0073212F">
              <w:t xml:space="preserve"/>
            </w:r>
          </w:p>
          <w:p w14:paraId="536737C0" w14:textId="02C30B64" w:rsidR="009942F2" w:rsidRPr="0073212F" w:rsidRDefault="009942F2" w:rsidP="00AD01A5">
            <w:pPr>
              <w:pStyle w:val="a8"/>
            </w:pPr>
            <w:r w:rsidRPr="0073212F">
              <w:t>Место нахождения, адрес</w:t>
            </w:r>
            <w:r w:rsidRPr="000D4FE5">
              <w:rPr>
                <w:color w:val="000000"/>
              </w:rPr>
              <w:t xml:space="preserve"/>
            </w:r>
            <w:r w:rsidRPr="000D4FE5">
              <w:rPr>
                <w:color w:val="000000"/>
                <w:lang w:val="en-US"/>
              </w:rPr>
              <w:t/>
            </w:r>
            <w:r w:rsidRPr="000D4FE5">
              <w:rPr>
                <w:color w:val="000000"/>
              </w:rPr>
              <w:t xml:space="preserve"/>
            </w:r>
            <w:r w:rsidRPr="000D4FE5">
              <w:t>:</w:t>
            </w:r>
            <w:r w:rsidRPr="0073212F">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0D4FE5"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r w:rsidRPr="0073212F">
              <w:rPr>
                <w:rFonts w:cstheme="minorHAnsi"/>
                <w:shd w:val="clear" w:color="auto" w:fill="FFFFFF"/>
                <w:lang w:val="en-US"/>
              </w:rPr>
              <w:t/>
            </w: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АО "Жилсервис-Посад"</w:t>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 xml:space="preserve">________________</w:t>
            </w:r>
            <w:r w:rsidRPr="0073212F">
              <w:rPr>
                <w:lang w:val="en-US"/>
              </w:rPr>
              <w:t>)</w:t>
            </w:r>
          </w:p>
        </w:tc>
      </w:tr>
      <w:tr w:rsidR="009942F2" w:rsidRPr="000D4FE5"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ПАО "Сбербанк России" г.Москва</w:t>
            </w:r>
          </w:p>
          <w:p w14:paraId="3110D78A" w14:textId="77777777" w:rsidR="009942F2" w:rsidRPr="0073212F" w:rsidRDefault="009942F2" w:rsidP="00AD01A5">
            <w:pPr>
              <w:pStyle w:val="a8"/>
              <w:rPr>
                <w:lang w:val="en-US"/>
              </w:rPr>
            </w:pPr>
            <w:r w:rsidRPr="0073212F">
              <w:t>БИК</w:t>
            </w:r>
            <w:r w:rsidRPr="0073212F">
              <w:rPr>
                <w:lang w:val="en-US"/>
              </w:rPr>
              <w:t xml:space="preserve"> 044525225</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40702810940310041382</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30101810400000000225</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46759000001</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0D4FE5" w:rsidRDefault="009942F2" w:rsidP="00AD01A5">
            <w:pPr>
              <w:pStyle w:val="a8"/>
            </w:pPr>
            <w:r w:rsidRPr="0073212F">
              <w:lastRenderedPageBreak/>
              <w:t>телефон</w:t>
            </w:r>
            <w:r w:rsidRPr="000D4FE5">
              <w:t xml:space="preserve"> (</w:t>
            </w:r>
            <w:r w:rsidRPr="0073212F">
              <w:t>факс</w:t>
            </w:r>
            <w:r w:rsidRPr="000D4FE5">
              <w:t xml:space="preserve">): 84964355669</w:t>
            </w:r>
            <w:r w:rsidRPr="0073212F">
              <w:rPr>
                <w:lang w:val="en-US"/>
              </w:rPr>
              <w:t/>
            </w:r>
            <w:r w:rsidRPr="000D4FE5">
              <w:t xml:space="preserve"/>
            </w:r>
          </w:p>
          <w:p w14:paraId="4EBCDFE5"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pprkch@mail.ru</w:t>
            </w:r>
            <w:r w:rsidRPr="0073212F">
              <w:rPr>
                <w:lang w:val="en-US"/>
              </w:rPr>
              <w:t/>
            </w:r>
            <w:r w:rsidRPr="000D4FE5">
              <w:t xml:space="preserve"/>
            </w:r>
          </w:p>
        </w:tc>
        <w:tc>
          <w:tcPr>
            <w:tcW w:w="5633" w:type="dxa"/>
            <w:shd w:val="clear" w:color="auto" w:fill="auto"/>
          </w:tcPr>
          <w:p w14:paraId="3EE64196" w14:textId="77777777" w:rsidR="009942F2" w:rsidRPr="000D4FE5" w:rsidRDefault="009942F2" w:rsidP="00AD01A5">
            <w:pPr>
              <w:pStyle w:val="a8"/>
            </w:pPr>
            <w:r w:rsidRPr="0073212F">
              <w:t>телефон</w:t>
            </w:r>
            <w:r w:rsidRPr="000D4FE5">
              <w:t xml:space="preserve"> (</w:t>
            </w:r>
            <w:r w:rsidRPr="0073212F">
              <w:t>факс</w:t>
            </w:r>
            <w:r w:rsidRPr="000D4FE5">
              <w:t xml:space="preserve">): ________________</w:t>
            </w:r>
            <w:r w:rsidRPr="0073212F">
              <w:rPr>
                <w:lang w:val="en-US"/>
              </w:rPr>
              <w:t/>
            </w:r>
            <w:r w:rsidRPr="000D4FE5">
              <w:t xml:space="preserve"/>
            </w:r>
          </w:p>
          <w:p w14:paraId="226EF8D3"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________________</w:t>
            </w:r>
            <w:r w:rsidRPr="0073212F">
              <w:rPr>
                <w:lang w:val="en-US"/>
              </w:rPr>
              <w:t/>
            </w:r>
            <w:r w:rsidRPr="000D4FE5">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Исполнитель:</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Заместитель Генеральный директор</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В. Александрова)</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0D4FE5">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98C7-D928-4BBE-95CF-B0DEF041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2022-03-02T11:53:00Z</cp:lastPrinted>
  <dcterms:created xsi:type="dcterms:W3CDTF">2022-07-18T08:05:00Z</dcterms:created>
  <dcterms:modified xsi:type="dcterms:W3CDTF">2022-07-18T08:05:00Z</dcterms:modified>
</cp:coreProperties>
</file>