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BA0E26">
        <w:rPr>
          <w:rFonts w:ascii="Times New Roman" w:hAnsi="Times New Roman" w:cs="Times New Roman"/>
          <w:b/>
          <w:i/>
          <w:sz w:val="28"/>
          <w:szCs w:val="28"/>
        </w:rPr>
        <w:t>20</w:t>
      </w:r>
      <w:r w:rsidRPr="00EA3F53">
        <w:rPr>
          <w:rFonts w:ascii="Times New Roman" w:hAnsi="Times New Roman" w:cs="Times New Roman"/>
          <w:b/>
          <w:i/>
          <w:sz w:val="28"/>
          <w:szCs w:val="28"/>
        </w:rPr>
        <w:t xml:space="preserve">» </w:t>
      </w:r>
      <w:r w:rsidR="007414AE">
        <w:rPr>
          <w:rFonts w:ascii="Times New Roman" w:hAnsi="Times New Roman" w:cs="Times New Roman"/>
          <w:b/>
          <w:i/>
          <w:sz w:val="28"/>
          <w:szCs w:val="28"/>
        </w:rPr>
        <w:t>ию</w:t>
      </w:r>
      <w:r w:rsidR="00BA0E26">
        <w:rPr>
          <w:rFonts w:ascii="Times New Roman" w:hAnsi="Times New Roman" w:cs="Times New Roman"/>
          <w:b/>
          <w:i/>
          <w:sz w:val="28"/>
          <w:szCs w:val="28"/>
        </w:rPr>
        <w:t>л</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BA0E26" w:rsidRPr="00BA0E26">
        <w:rPr>
          <w:rFonts w:ascii="Times New Roman" w:hAnsi="Times New Roman" w:cs="Times New Roman"/>
          <w:b/>
          <w:i/>
          <w:sz w:val="28"/>
          <w:szCs w:val="28"/>
        </w:rPr>
        <w:t xml:space="preserve">оказание услуг по </w:t>
      </w:r>
      <w:r w:rsidR="004D7420" w:rsidRPr="004D7420">
        <w:rPr>
          <w:rFonts w:ascii="Times New Roman" w:hAnsi="Times New Roman" w:cs="Times New Roman"/>
          <w:b/>
          <w:i/>
          <w:sz w:val="28"/>
          <w:szCs w:val="28"/>
        </w:rPr>
        <w:t xml:space="preserve">поверке узлов учета тепловой энергии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BA0E26"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007F231D" w:rsidRPr="004264F1">
                <w:rPr>
                  <w:rStyle w:val="a3"/>
                  <w:rFonts w:ascii="Times New Roman" w:hAnsi="Times New Roman"/>
                  <w:snapToGrid w:val="0"/>
                  <w:lang w:val="en-US"/>
                </w:rPr>
                <w:t>zhildomks</w:t>
              </w:r>
              <w:r w:rsidR="007F231D" w:rsidRPr="004264F1">
                <w:rPr>
                  <w:rStyle w:val="a3"/>
                  <w:rFonts w:ascii="Times New Roman" w:hAnsi="Times New Roman"/>
                  <w:snapToGrid w:val="0"/>
                </w:rPr>
                <w:t>@</w:t>
              </w:r>
              <w:r w:rsidR="007F231D" w:rsidRPr="004264F1">
                <w:rPr>
                  <w:rStyle w:val="a3"/>
                  <w:rFonts w:ascii="Times New Roman" w:hAnsi="Times New Roman"/>
                  <w:snapToGrid w:val="0"/>
                  <w:lang w:val="en-US"/>
                </w:rPr>
                <w:t>bk</w:t>
              </w:r>
              <w:r w:rsidR="007F231D" w:rsidRPr="004264F1">
                <w:rPr>
                  <w:rStyle w:val="a3"/>
                  <w:rFonts w:ascii="Times New Roman" w:hAnsi="Times New Roman"/>
                  <w:snapToGrid w:val="0"/>
                </w:rPr>
                <w:t>.</w:t>
              </w:r>
              <w:proofErr w:type="spellStart"/>
              <w:r w:rsidR="007F231D" w:rsidRPr="004264F1">
                <w:rPr>
                  <w:rStyle w:val="a3"/>
                  <w:rFonts w:ascii="Times New Roman" w:hAnsi="Times New Roman"/>
                  <w:snapToGrid w:val="0"/>
                  <w:lang w:val="en-US"/>
                </w:rPr>
                <w:t>ru</w:t>
              </w:r>
              <w:proofErr w:type="spellEnd"/>
            </w:hyperlink>
            <w:r w:rsidR="007F231D" w:rsidRPr="00BA0E26">
              <w:rPr>
                <w:rFonts w:ascii="Times New Roman" w:hAnsi="Times New Roman" w:cs="Times New Roman"/>
              </w:rPr>
              <w:t xml:space="preserve"> </w:t>
            </w:r>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Pr="00BA0E26" w:rsidRDefault="004D7420" w:rsidP="00E7612C">
            <w:pPr>
              <w:rPr>
                <w:rFonts w:ascii="Times New Roman" w:hAnsi="Times New Roman" w:cs="Times New Roman"/>
                <w:color w:val="00000A"/>
              </w:rPr>
            </w:pPr>
            <w:hyperlink r:id="rId16" w:history="1">
              <w:r w:rsidR="007F231D" w:rsidRPr="004264F1">
                <w:rPr>
                  <w:rStyle w:val="a3"/>
                  <w:rFonts w:ascii="Times New Roman" w:hAnsi="Times New Roman"/>
                </w:rPr>
                <w:t>www.zakupki.gov.r</w:t>
              </w:r>
              <w:r w:rsidR="007F231D" w:rsidRPr="004264F1">
                <w:rPr>
                  <w:rStyle w:val="a3"/>
                  <w:rFonts w:ascii="Times New Roman" w:hAnsi="Times New Roman"/>
                  <w:lang w:val="en-US"/>
                </w:rPr>
                <w:t>u</w:t>
              </w:r>
            </w:hyperlink>
            <w:r w:rsidR="007F231D" w:rsidRPr="00BA0E26">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5E013C" w:rsidP="00E7612C">
            <w:pPr>
              <w:rPr>
                <w:rFonts w:ascii="Times New Roman" w:hAnsi="Times New Roman" w:cs="Times New Roman"/>
                <w:color w:val="00000A"/>
              </w:rPr>
            </w:pPr>
            <w:hyperlink r:id="rId17" w:history="1">
              <w:r w:rsidRPr="00026352">
                <w:rPr>
                  <w:rStyle w:val="a3"/>
                  <w:rFonts w:ascii="Times New Roman" w:eastAsia="Times New Roman" w:hAnsi="Times New Roman"/>
                  <w:lang w:val="en-US"/>
                </w:rPr>
                <w:t>www</w:t>
              </w:r>
              <w:r w:rsidRPr="00026352">
                <w:rPr>
                  <w:rStyle w:val="a3"/>
                  <w:rFonts w:ascii="Times New Roman" w:eastAsia="Times New Roman" w:hAnsi="Times New Roman"/>
                </w:rPr>
                <w:t>.</w:t>
              </w:r>
              <w:r w:rsidRPr="00026352">
                <w:rPr>
                  <w:rStyle w:val="a3"/>
                  <w:rFonts w:ascii="Times New Roman" w:eastAsia="Times New Roman" w:hAnsi="Times New Roman"/>
                  <w:lang w:val="en-US"/>
                </w:rPr>
                <w:t>ESTP</w:t>
              </w:r>
              <w:r w:rsidRPr="00026352">
                <w:rPr>
                  <w:rStyle w:val="a3"/>
                  <w:rFonts w:ascii="Times New Roman" w:eastAsia="Times New Roman" w:hAnsi="Times New Roman"/>
                </w:rPr>
                <w:t>.</w:t>
              </w:r>
              <w:proofErr w:type="spellStart"/>
              <w:r w:rsidRPr="00026352">
                <w:rPr>
                  <w:rStyle w:val="a3"/>
                  <w:rFonts w:ascii="Times New Roman" w:eastAsia="Times New Roman" w:hAnsi="Times New Roman"/>
                  <w:lang w:val="en-US"/>
                </w:rPr>
                <w:t>ru</w:t>
              </w:r>
              <w:proofErr w:type="spellEnd"/>
            </w:hyperlink>
            <w:r w:rsidR="007F231D" w:rsidRPr="00BA0E26">
              <w:rPr>
                <w:rFonts w:ascii="Times New Roman" w:eastAsia="Times New Roman" w:hAnsi="Times New Roman" w:cs="Times New Roman"/>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BA0E26" w:rsidP="00AE4694">
            <w:pPr>
              <w:widowControl w:val="0"/>
              <w:suppressAutoHyphens/>
              <w:autoSpaceDE w:val="0"/>
              <w:jc w:val="both"/>
              <w:rPr>
                <w:rFonts w:ascii="Times New Roman" w:eastAsia="Times New Roman" w:hAnsi="Times New Roman" w:cs="Times New Roman"/>
                <w:u w:val="single"/>
              </w:rPr>
            </w:pPr>
            <w:r w:rsidRPr="00BA0E26">
              <w:rPr>
                <w:rFonts w:ascii="Times New Roman" w:eastAsia="Times New Roman" w:hAnsi="Times New Roman" w:cs="Times New Roman"/>
                <w:u w:val="single"/>
              </w:rPr>
              <w:t xml:space="preserve">Оказание услуг по </w:t>
            </w:r>
            <w:r w:rsidR="00890384" w:rsidRPr="00890384">
              <w:rPr>
                <w:rFonts w:ascii="Times New Roman" w:eastAsia="Times New Roman" w:hAnsi="Times New Roman" w:cs="Times New Roman"/>
                <w:u w:val="single"/>
              </w:rPr>
              <w:t xml:space="preserve">поверке </w:t>
            </w:r>
            <w:r w:rsidR="00210F9E">
              <w:rPr>
                <w:rFonts w:ascii="Times New Roman" w:eastAsia="Times New Roman" w:hAnsi="Times New Roman" w:cs="Times New Roman"/>
                <w:u w:val="single"/>
              </w:rPr>
              <w:t>приборов</w:t>
            </w:r>
            <w:r w:rsidR="00890384" w:rsidRPr="00890384">
              <w:rPr>
                <w:rFonts w:ascii="Times New Roman" w:eastAsia="Times New Roman" w:hAnsi="Times New Roman" w:cs="Times New Roman"/>
                <w:u w:val="single"/>
              </w:rPr>
              <w:t xml:space="preserve"> учета тепловой энергии</w:t>
            </w:r>
            <w:r w:rsidRPr="00AE4694">
              <w:rPr>
                <w:rFonts w:ascii="Times New Roman" w:eastAsia="Times New Roman" w:hAnsi="Times New Roman" w:cs="Times New Roman"/>
                <w:u w:val="single"/>
              </w:rPr>
              <w:t xml:space="preserve"> </w:t>
            </w:r>
            <w:r w:rsidR="00E65DAC" w:rsidRPr="00AE4694">
              <w:rPr>
                <w:rFonts w:ascii="Times New Roman" w:eastAsia="Times New Roman" w:hAnsi="Times New Roman" w:cs="Times New Roman"/>
                <w:u w:val="single"/>
              </w:rPr>
              <w:t>для нужд АО «Управляющая компания «Жилой дом» в 2021 год</w:t>
            </w:r>
            <w:r w:rsidR="00210F9E">
              <w:rPr>
                <w:rFonts w:ascii="Times New Roman" w:eastAsia="Times New Roman" w:hAnsi="Times New Roman" w:cs="Times New Roman"/>
                <w:u w:val="single"/>
              </w:rPr>
              <w:t>у</w:t>
            </w:r>
            <w:r w:rsidR="001F4651"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14AE" w:rsidRDefault="001F4651" w:rsidP="007414AE">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7414AE" w:rsidP="00890384">
            <w:pPr>
              <w:jc w:val="center"/>
            </w:pPr>
            <w:r>
              <w:rPr>
                <w:rFonts w:ascii="Times New Roman" w:eastAsia="Times New Roman" w:hAnsi="Times New Roman" w:cs="Times New Roman"/>
              </w:rPr>
              <w:t xml:space="preserve">1 </w:t>
            </w:r>
            <w:r w:rsidR="00890384">
              <w:rPr>
                <w:rFonts w:ascii="Times New Roman" w:eastAsia="Times New Roman" w:hAnsi="Times New Roman" w:cs="Times New Roman"/>
              </w:rPr>
              <w:t>530</w:t>
            </w:r>
            <w:r w:rsidR="004E0FCD">
              <w:rPr>
                <w:rFonts w:ascii="Times New Roman" w:eastAsia="Times New Roman" w:hAnsi="Times New Roman" w:cs="Times New Roman"/>
              </w:rPr>
              <w:t xml:space="preserve"> </w:t>
            </w:r>
            <w:r w:rsidR="00BA0E26">
              <w:rPr>
                <w:rFonts w:ascii="Times New Roman" w:eastAsia="Times New Roman" w:hAnsi="Times New Roman" w:cs="Times New Roman"/>
              </w:rPr>
              <w:t>000</w:t>
            </w:r>
            <w:r w:rsidR="00AE4694">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 xml:space="preserve">один миллион </w:t>
            </w:r>
            <w:r w:rsidR="00890384">
              <w:rPr>
                <w:rFonts w:ascii="Times New Roman" w:eastAsia="Times New Roman" w:hAnsi="Times New Roman" w:cs="Times New Roman"/>
              </w:rPr>
              <w:t>пять</w:t>
            </w:r>
            <w:r w:rsidR="00BA0E26">
              <w:rPr>
                <w:rFonts w:ascii="Times New Roman" w:eastAsia="Times New Roman" w:hAnsi="Times New Roman" w:cs="Times New Roman"/>
              </w:rPr>
              <w:t>сот</w:t>
            </w:r>
            <w:r>
              <w:rPr>
                <w:rFonts w:ascii="Times New Roman" w:eastAsia="Times New Roman" w:hAnsi="Times New Roman" w:cs="Times New Roman"/>
              </w:rPr>
              <w:t xml:space="preserve"> </w:t>
            </w:r>
            <w:r w:rsidR="00890384">
              <w:rPr>
                <w:rFonts w:ascii="Times New Roman" w:eastAsia="Times New Roman" w:hAnsi="Times New Roman" w:cs="Times New Roman"/>
              </w:rPr>
              <w:t>тридцать</w:t>
            </w:r>
            <w:r w:rsidR="00BA0E26">
              <w:rPr>
                <w:rFonts w:ascii="Times New Roman" w:eastAsia="Times New Roman" w:hAnsi="Times New Roman" w:cs="Times New Roman"/>
              </w:rPr>
              <w:t xml:space="preserve">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сяч) рубл</w:t>
            </w:r>
            <w:r w:rsidR="004E0FCD">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BA0E26">
              <w:rPr>
                <w:rFonts w:ascii="Times New Roman" w:eastAsia="Times New Roman" w:hAnsi="Times New Roman" w:cs="Times New Roman"/>
              </w:rPr>
              <w:t>00</w:t>
            </w:r>
            <w:r w:rsidR="001F4651" w:rsidRPr="00A774F1">
              <w:rPr>
                <w:rFonts w:ascii="Times New Roman" w:eastAsia="Times New Roman" w:hAnsi="Times New Roman" w:cs="Times New Roman"/>
              </w:rPr>
              <w:t xml:space="preserve"> копеек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A0E26" w:rsidRPr="00BA0E26" w:rsidRDefault="00BA0E26" w:rsidP="00BA0E26">
            <w:pPr>
              <w:pStyle w:val="ConsPlusNormal"/>
              <w:numPr>
                <w:ilvl w:val="1"/>
                <w:numId w:val="12"/>
              </w:numPr>
              <w:ind w:left="0" w:firstLine="331"/>
              <w:jc w:val="both"/>
              <w:rPr>
                <w:rFonts w:ascii="Times New Roman" w:eastAsia="Arial Unicode MS" w:hAnsi="Times New Roman" w:cs="Times New Roman"/>
                <w:sz w:val="24"/>
                <w:szCs w:val="24"/>
              </w:rPr>
            </w:pPr>
            <w:r w:rsidRPr="00BA0E26">
              <w:rPr>
                <w:rFonts w:ascii="Times New Roman" w:eastAsia="Arial Unicode MS" w:hAnsi="Times New Roman" w:cs="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а именно: </w:t>
            </w:r>
            <w:r w:rsidR="00EA75B8">
              <w:rPr>
                <w:rFonts w:ascii="Times New Roman" w:eastAsia="Arial Unicode MS" w:hAnsi="Times New Roman" w:cs="Times New Roman"/>
                <w:sz w:val="24"/>
                <w:szCs w:val="24"/>
              </w:rPr>
              <w:t>Лицензия</w:t>
            </w:r>
            <w:r w:rsidR="00DE132D">
              <w:rPr>
                <w:rFonts w:ascii="Times New Roman" w:eastAsia="Arial Unicode MS" w:hAnsi="Times New Roman" w:cs="Times New Roman"/>
                <w:sz w:val="24"/>
                <w:szCs w:val="24"/>
              </w:rPr>
              <w:t xml:space="preserve"> на осуществление деятельности по сбору, транспортированию, обработке, утилизации, обезвреживанию, размещению отходов </w:t>
            </w:r>
            <w:r w:rsidR="00DE132D" w:rsidRPr="00DE132D">
              <w:rPr>
                <w:rFonts w:ascii="Times New Roman" w:eastAsia="Arial Unicode MS" w:hAnsi="Times New Roman" w:cs="Times New Roman"/>
                <w:sz w:val="24"/>
                <w:szCs w:val="24"/>
              </w:rPr>
              <w:t>I-IV</w:t>
            </w:r>
            <w:r w:rsidR="00DE132D">
              <w:rPr>
                <w:rFonts w:ascii="Times New Roman" w:eastAsia="Arial Unicode MS" w:hAnsi="Times New Roman" w:cs="Times New Roman"/>
                <w:sz w:val="24"/>
                <w:szCs w:val="24"/>
              </w:rPr>
              <w:t xml:space="preserve"> классов отходов</w:t>
            </w:r>
            <w:r w:rsidRPr="00BA0E26">
              <w:rPr>
                <w:rFonts w:ascii="Times New Roman" w:eastAsia="Arial Unicode MS" w:hAnsi="Times New Roman" w:cs="Times New Roman"/>
                <w:sz w:val="24"/>
                <w:szCs w:val="24"/>
              </w:rPr>
              <w:t>, выданн</w:t>
            </w:r>
            <w:r w:rsidR="00DE132D">
              <w:rPr>
                <w:rFonts w:ascii="Times New Roman" w:eastAsia="Arial Unicode MS" w:hAnsi="Times New Roman" w:cs="Times New Roman"/>
                <w:sz w:val="24"/>
                <w:szCs w:val="24"/>
              </w:rPr>
              <w:t>ая</w:t>
            </w:r>
            <w:r w:rsidRPr="00BA0E26">
              <w:rPr>
                <w:rFonts w:ascii="Times New Roman" w:eastAsia="Arial Unicode MS" w:hAnsi="Times New Roman" w:cs="Times New Roman"/>
                <w:sz w:val="24"/>
                <w:szCs w:val="24"/>
              </w:rPr>
              <w:t xml:space="preserve"> </w:t>
            </w:r>
            <w:r w:rsidR="00DE132D">
              <w:rPr>
                <w:rFonts w:ascii="Times New Roman" w:eastAsia="Arial Unicode MS" w:hAnsi="Times New Roman" w:cs="Times New Roman"/>
                <w:sz w:val="24"/>
                <w:szCs w:val="24"/>
              </w:rPr>
              <w:t>Министерством жилищно-коммунального хозяйства</w:t>
            </w:r>
            <w:r w:rsidRPr="00BA0E26">
              <w:rPr>
                <w:rFonts w:ascii="Times New Roman" w:eastAsia="Arial Unicode MS" w:hAnsi="Times New Roman" w:cs="Times New Roman"/>
                <w:sz w:val="24"/>
                <w:szCs w:val="24"/>
              </w:rPr>
              <w:t xml:space="preserve"> Московской области в соответствии </w:t>
            </w:r>
            <w:r w:rsidR="00DE132D">
              <w:rPr>
                <w:rFonts w:ascii="Times New Roman" w:eastAsia="Arial Unicode MS" w:hAnsi="Times New Roman" w:cs="Times New Roman"/>
                <w:sz w:val="24"/>
                <w:szCs w:val="24"/>
              </w:rPr>
              <w:t xml:space="preserve">с </w:t>
            </w:r>
            <w:r w:rsidR="00DE132D" w:rsidRPr="00DE132D">
              <w:rPr>
                <w:rFonts w:ascii="Times New Roman" w:eastAsia="Arial Unicode MS" w:hAnsi="Times New Roman" w:cs="Times New Roman"/>
                <w:sz w:val="24"/>
                <w:szCs w:val="24"/>
              </w:rPr>
              <w:t>ФЗ №89 от 24.06.1998г. глава 3, ст. 9</w:t>
            </w:r>
            <w:r w:rsidRPr="00BA0E26">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DE5155">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начала и дата</w:t>
            </w:r>
            <w:r w:rsidR="00DE5155">
              <w:rPr>
                <w:rFonts w:ascii="Times New Roman" w:hAnsi="Times New Roman" w:cs="Times New Roman"/>
                <w:color w:val="auto"/>
              </w:rPr>
              <w:t xml:space="preserve"> </w:t>
            </w:r>
            <w:r w:rsidRPr="00BB2B1F">
              <w:rPr>
                <w:rFonts w:ascii="Times New Roman" w:hAnsi="Times New Roman" w:cs="Times New Roman"/>
                <w:color w:val="auto"/>
              </w:rPr>
              <w:t xml:space="preserve">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w:t>
            </w:r>
            <w:r w:rsidR="00890384">
              <w:rPr>
                <w:rFonts w:ascii="Times New Roman" w:hAnsi="Times New Roman" w:cs="Times New Roman"/>
                <w:color w:val="auto"/>
              </w:rPr>
              <w:t>9</w:t>
            </w:r>
            <w:r w:rsidRPr="00192FE7">
              <w:rPr>
                <w:rFonts w:ascii="Times New Roman" w:eastAsia="Times New Roman" w:hAnsi="Times New Roman"/>
                <w:color w:val="auto"/>
              </w:rPr>
              <w:t xml:space="preserve">» </w:t>
            </w:r>
            <w:r w:rsidR="007414AE">
              <w:rPr>
                <w:rFonts w:ascii="Times New Roman" w:eastAsia="Times New Roman" w:hAnsi="Times New Roman"/>
                <w:color w:val="auto"/>
              </w:rPr>
              <w:t>ию</w:t>
            </w:r>
            <w:r w:rsidR="00DE5155">
              <w:rPr>
                <w:rFonts w:ascii="Times New Roman" w:eastAsia="Times New Roman" w:hAnsi="Times New Roman"/>
                <w:color w:val="auto"/>
              </w:rPr>
              <w:t>л</w:t>
            </w:r>
            <w:r w:rsidR="007414AE">
              <w:rPr>
                <w:rFonts w:ascii="Times New Roman" w:eastAsia="Times New Roman" w:hAnsi="Times New Roman"/>
                <w:color w:val="auto"/>
              </w:rPr>
              <w:t>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890384">
            <w:pPr>
              <w:jc w:val="both"/>
              <w:rPr>
                <w:rFonts w:ascii="Times New Roman" w:hAnsi="Times New Roman" w:cs="Times New Roman"/>
              </w:rPr>
            </w:pPr>
            <w:r w:rsidRPr="00FF000C">
              <w:rPr>
                <w:rFonts w:ascii="Times New Roman" w:hAnsi="Times New Roman" w:cs="Times New Roman"/>
                <w:color w:val="auto"/>
              </w:rPr>
              <w:t>«</w:t>
            </w:r>
            <w:r w:rsidR="00890384">
              <w:rPr>
                <w:rFonts w:ascii="Times New Roman" w:hAnsi="Times New Roman" w:cs="Times New Roman"/>
                <w:color w:val="auto"/>
              </w:rPr>
              <w:t>01</w:t>
            </w:r>
            <w:r w:rsidRPr="00FF000C">
              <w:rPr>
                <w:rFonts w:ascii="Times New Roman" w:eastAsia="Times New Roman" w:hAnsi="Times New Roman"/>
                <w:color w:val="auto"/>
              </w:rPr>
              <w:t xml:space="preserve">» </w:t>
            </w:r>
            <w:r w:rsidR="00890384">
              <w:rPr>
                <w:rFonts w:ascii="Times New Roman" w:eastAsia="Times New Roman" w:hAnsi="Times New Roman"/>
                <w:color w:val="auto"/>
              </w:rPr>
              <w:t>августа</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890384">
              <w:rPr>
                <w:rFonts w:ascii="Times New Roman" w:eastAsia="Times New Roman" w:hAnsi="Times New Roman" w:cs="Times New Roman"/>
                <w:color w:val="auto"/>
              </w:rPr>
              <w:t>23</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890384">
              <w:rPr>
                <w:rFonts w:ascii="Times New Roman" w:hAnsi="Times New Roman" w:cs="Times New Roman"/>
                <w:color w:val="auto"/>
              </w:rPr>
              <w:t>59</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w:t>
            </w:r>
            <w:r w:rsidR="00890384">
              <w:rPr>
                <w:rFonts w:ascii="Times New Roman" w:hAnsi="Times New Roman" w:cs="Times New Roman"/>
                <w:color w:val="auto"/>
              </w:rPr>
              <w:t>9</w:t>
            </w:r>
            <w:r w:rsidRPr="00192FE7">
              <w:rPr>
                <w:rFonts w:ascii="Times New Roman" w:eastAsia="Times New Roman" w:hAnsi="Times New Roman"/>
                <w:color w:val="auto"/>
              </w:rPr>
              <w:t xml:space="preserve">» </w:t>
            </w:r>
            <w:r w:rsidR="00DE5155">
              <w:rPr>
                <w:rFonts w:ascii="Times New Roman" w:eastAsia="Times New Roman" w:hAnsi="Times New Roman"/>
                <w:color w:val="auto"/>
              </w:rPr>
              <w:t>июл</w:t>
            </w:r>
            <w:r w:rsidR="007414AE">
              <w:rPr>
                <w:rFonts w:ascii="Times New Roman" w:eastAsia="Times New Roman" w:hAnsi="Times New Roman"/>
                <w:color w:val="auto"/>
              </w:rPr>
              <w:t>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890384">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890384">
              <w:rPr>
                <w:rFonts w:ascii="Times New Roman" w:hAnsi="Times New Roman" w:cs="Times New Roman"/>
                <w:color w:val="auto"/>
              </w:rPr>
              <w:t>05</w:t>
            </w:r>
            <w:r w:rsidR="00F3435F" w:rsidRPr="00FF000C">
              <w:rPr>
                <w:rFonts w:ascii="Times New Roman" w:eastAsia="Times New Roman" w:hAnsi="Times New Roman"/>
                <w:color w:val="auto"/>
              </w:rPr>
              <w:t xml:space="preserve">» </w:t>
            </w:r>
            <w:r w:rsidR="00890384">
              <w:rPr>
                <w:rFonts w:ascii="Times New Roman" w:eastAsia="Times New Roman" w:hAnsi="Times New Roman"/>
                <w:color w:val="auto"/>
              </w:rPr>
              <w:t>августа</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890384">
              <w:rPr>
                <w:rFonts w:ascii="Times New Roman" w:hAnsi="Times New Roman" w:cs="Times New Roman"/>
                <w:color w:val="auto"/>
              </w:rPr>
              <w:t>06</w:t>
            </w:r>
            <w:r w:rsidRPr="000868B7">
              <w:rPr>
                <w:rFonts w:ascii="Times New Roman" w:eastAsia="Times New Roman" w:hAnsi="Times New Roman"/>
                <w:color w:val="auto"/>
              </w:rPr>
              <w:t xml:space="preserve">» </w:t>
            </w:r>
            <w:r w:rsidR="00890384">
              <w:rPr>
                <w:rFonts w:ascii="Times New Roman" w:eastAsia="Times New Roman" w:hAnsi="Times New Roman"/>
                <w:color w:val="auto"/>
              </w:rPr>
              <w:t>августа</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890384">
            <w:pPr>
              <w:rPr>
                <w:rFonts w:ascii="Times New Roman" w:hAnsi="Times New Roman" w:cs="Times New Roman"/>
                <w:color w:val="auto"/>
              </w:rPr>
            </w:pPr>
            <w:r w:rsidRPr="000868B7">
              <w:rPr>
                <w:rFonts w:ascii="Times New Roman" w:hAnsi="Times New Roman" w:cs="Times New Roman"/>
                <w:color w:val="auto"/>
              </w:rPr>
              <w:t>«</w:t>
            </w:r>
            <w:r w:rsidR="00890384">
              <w:rPr>
                <w:rFonts w:ascii="Times New Roman" w:hAnsi="Times New Roman" w:cs="Times New Roman"/>
                <w:color w:val="auto"/>
              </w:rPr>
              <w:t>06</w:t>
            </w:r>
            <w:r w:rsidRPr="000868B7">
              <w:rPr>
                <w:rFonts w:ascii="Times New Roman" w:eastAsia="Times New Roman" w:hAnsi="Times New Roman"/>
                <w:color w:val="auto"/>
              </w:rPr>
              <w:t>»</w:t>
            </w:r>
            <w:r w:rsidR="007414AE">
              <w:rPr>
                <w:rFonts w:ascii="Times New Roman" w:eastAsia="Times New Roman" w:hAnsi="Times New Roman"/>
                <w:color w:val="auto"/>
              </w:rPr>
              <w:t xml:space="preserve"> </w:t>
            </w:r>
            <w:r w:rsidR="00890384">
              <w:rPr>
                <w:rFonts w:ascii="Times New Roman" w:eastAsia="Times New Roman" w:hAnsi="Times New Roman"/>
                <w:color w:val="auto"/>
              </w:rPr>
              <w:t>августа</w:t>
            </w:r>
            <w:r w:rsidR="007414AE">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33349F">
              <w:rPr>
                <w:rFonts w:ascii="Times New Roman" w:hAnsi="Times New Roman" w:cs="Times New Roman"/>
              </w:rPr>
              <w:t>76</w:t>
            </w:r>
            <w:r w:rsidR="007414AE">
              <w:rPr>
                <w:rFonts w:ascii="Times New Roman" w:hAnsi="Times New Roman" w:cs="Times New Roman"/>
              </w:rPr>
              <w:t xml:space="preserve"> </w:t>
            </w:r>
            <w:r w:rsidR="0033349F">
              <w:rPr>
                <w:rFonts w:ascii="Times New Roman" w:hAnsi="Times New Roman" w:cs="Times New Roman"/>
              </w:rPr>
              <w:t>5</w:t>
            </w:r>
            <w:r w:rsidR="00F979F8">
              <w:rPr>
                <w:rFonts w:ascii="Times New Roman" w:hAnsi="Times New Roman" w:cs="Times New Roman"/>
              </w:rPr>
              <w:t>00</w:t>
            </w:r>
            <w:r>
              <w:rPr>
                <w:rFonts w:ascii="Times New Roman" w:hAnsi="Times New Roman" w:cs="Times New Roman"/>
              </w:rPr>
              <w:t xml:space="preserve"> (</w:t>
            </w:r>
            <w:r w:rsidR="00F979F8">
              <w:rPr>
                <w:rFonts w:ascii="Times New Roman" w:hAnsi="Times New Roman" w:cs="Times New Roman"/>
              </w:rPr>
              <w:t>семь</w:t>
            </w:r>
            <w:r w:rsidR="007414AE">
              <w:rPr>
                <w:rFonts w:ascii="Times New Roman" w:hAnsi="Times New Roman" w:cs="Times New Roman"/>
              </w:rPr>
              <w:t xml:space="preserve">десят </w:t>
            </w:r>
            <w:r w:rsidR="0033349F">
              <w:rPr>
                <w:rFonts w:ascii="Times New Roman" w:hAnsi="Times New Roman" w:cs="Times New Roman"/>
              </w:rPr>
              <w:t>шест</w:t>
            </w:r>
            <w:r w:rsidR="00172C70">
              <w:rPr>
                <w:rFonts w:ascii="Times New Roman" w:hAnsi="Times New Roman" w:cs="Times New Roman"/>
              </w:rPr>
              <w:t>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33349F">
              <w:rPr>
                <w:rFonts w:ascii="Times New Roman" w:hAnsi="Times New Roman" w:cs="Times New Roman"/>
              </w:rPr>
              <w:t>пят</w:t>
            </w:r>
            <w:r w:rsidR="007414AE">
              <w:rPr>
                <w:rFonts w:ascii="Times New Roman" w:hAnsi="Times New Roman" w:cs="Times New Roman"/>
              </w:rPr>
              <w:t>ьсот</w:t>
            </w:r>
            <w:r w:rsidRPr="00EC29E8">
              <w:rPr>
                <w:rFonts w:ascii="Times New Roman" w:hAnsi="Times New Roman" w:cs="Times New Roman"/>
              </w:rPr>
              <w:t>) рубл</w:t>
            </w:r>
            <w:r w:rsidR="00C677E3">
              <w:rPr>
                <w:rFonts w:ascii="Times New Roman" w:hAnsi="Times New Roman" w:cs="Times New Roman"/>
              </w:rPr>
              <w:t>ей</w:t>
            </w:r>
            <w:r w:rsidRPr="00EC29E8">
              <w:rPr>
                <w:rFonts w:ascii="Times New Roman" w:hAnsi="Times New Roman" w:cs="Times New Roman"/>
              </w:rPr>
              <w:t xml:space="preserve"> </w:t>
            </w:r>
            <w:r w:rsidR="00F979F8">
              <w:rPr>
                <w:rFonts w:ascii="Times New Roman" w:hAnsi="Times New Roman" w:cs="Times New Roman"/>
              </w:rPr>
              <w:t>00</w:t>
            </w:r>
            <w:r w:rsidRPr="00EC29E8">
              <w:rPr>
                <w:rFonts w:ascii="Times New Roman" w:hAnsi="Times New Roman" w:cs="Times New Roman"/>
              </w:rPr>
              <w:t xml:space="preserve"> копе</w:t>
            </w:r>
            <w:r w:rsidR="00F979F8">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19635F">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00FC2E22" w:rsidRPr="00FC2E22">
              <w:rPr>
                <w:rFonts w:ascii="Times New Roman" w:eastAsiaTheme="minorEastAsia" w:hAnsi="Times New Roman" w:cs="Times New Roman"/>
                <w:color w:val="auto"/>
              </w:rPr>
              <w:t xml:space="preserve">оказание </w:t>
            </w:r>
            <w:r w:rsidR="00FC2E22" w:rsidRPr="005D4B37">
              <w:rPr>
                <w:rFonts w:ascii="Times New Roman" w:eastAsiaTheme="minorEastAsia" w:hAnsi="Times New Roman" w:cs="Times New Roman"/>
                <w:color w:val="auto"/>
              </w:rPr>
              <w:t xml:space="preserve">услуг </w:t>
            </w:r>
            <w:r w:rsidR="005D4B37" w:rsidRPr="005D4B37">
              <w:rPr>
                <w:rFonts w:ascii="Times New Roman" w:eastAsia="Times New Roman" w:hAnsi="Times New Roman"/>
              </w:rPr>
              <w:t xml:space="preserve">по </w:t>
            </w:r>
            <w:r w:rsidR="00711C09" w:rsidRPr="009A071C">
              <w:rPr>
                <w:rFonts w:ascii="Times New Roman" w:hAnsi="Times New Roman" w:cs="Times New Roman"/>
              </w:rPr>
              <w:t xml:space="preserve">поверке </w:t>
            </w:r>
            <w:r w:rsidR="0019635F">
              <w:rPr>
                <w:rFonts w:ascii="Times New Roman" w:hAnsi="Times New Roman" w:cs="Times New Roman"/>
              </w:rPr>
              <w:t>приборов</w:t>
            </w:r>
            <w:bookmarkStart w:id="383" w:name="_GoBack"/>
            <w:bookmarkEnd w:id="383"/>
            <w:r w:rsidR="00711C09" w:rsidRPr="009A071C">
              <w:rPr>
                <w:rFonts w:ascii="Times New Roman" w:hAnsi="Times New Roman" w:cs="Times New Roman"/>
              </w:rPr>
              <w:t xml:space="preserve"> учета тепловой энергии</w:t>
            </w:r>
            <w:r w:rsidR="005D4B37" w:rsidRPr="00F109BE">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0"/>
          <w:footerReference w:type="even" r:id="rId21"/>
          <w:footerReference w:type="default" r:id="rId22"/>
          <w:headerReference w:type="first" r:id="rId23"/>
          <w:pgSz w:w="11906" w:h="16838"/>
          <w:pgMar w:top="1134" w:right="850" w:bottom="1134" w:left="1701" w:header="708" w:footer="708" w:gutter="0"/>
          <w:cols w:space="708"/>
          <w:docGrid w:linePitch="360"/>
        </w:sectPr>
      </w:pPr>
      <w:bookmarkStart w:id="431" w:name="_Toc479233576"/>
    </w:p>
    <w:bookmarkEnd w:id="431"/>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 xml:space="preserve">Приложение </w:t>
      </w:r>
      <w:r w:rsidR="005E013C">
        <w:rPr>
          <w:rFonts w:ascii="Times New Roman" w:eastAsia="Times New Roman" w:hAnsi="Times New Roman" w:cs="Times New Roman"/>
          <w:b/>
          <w:bCs/>
          <w:color w:val="000000" w:themeColor="text1"/>
          <w:sz w:val="28"/>
          <w:szCs w:val="28"/>
        </w:rPr>
        <w:t>4</w:t>
      </w:r>
      <w:r w:rsidRPr="00922C5B">
        <w:rPr>
          <w:rFonts w:ascii="Times New Roman" w:eastAsia="Times New Roman" w:hAnsi="Times New Roman" w:cs="Times New Roman"/>
          <w:b/>
          <w:bCs/>
          <w:color w:val="000000" w:themeColor="text1"/>
          <w:sz w:val="28"/>
          <w:szCs w:val="28"/>
        </w:rPr>
        <w:t>.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2" w:name="bookmark0"/>
      <w:bookmarkEnd w:id="432"/>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20" w:rsidRDefault="004D7420">
      <w:r>
        <w:separator/>
      </w:r>
    </w:p>
  </w:endnote>
  <w:endnote w:type="continuationSeparator" w:id="0">
    <w:p w:rsidR="004D7420" w:rsidRDefault="004D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Default="004D7420" w:rsidP="00E37A32">
    <w:pPr>
      <w:pStyle w:val="3c"/>
      <w:framePr w:wrap="around" w:vAnchor="text" w:hAnchor="margin" w:xAlign="right" w:y="1"/>
    </w:pPr>
    <w:r>
      <w:fldChar w:fldCharType="begin"/>
    </w:r>
    <w:r>
      <w:instrText xml:space="preserve">PAGE  </w:instrText>
    </w:r>
    <w:r>
      <w:fldChar w:fldCharType="end"/>
    </w:r>
  </w:p>
  <w:p w:rsidR="004D7420" w:rsidRDefault="004D7420"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Default="004D7420" w:rsidP="00E37A32">
    <w:pPr>
      <w:pStyle w:val="3c"/>
      <w:framePr w:wrap="around" w:vAnchor="text" w:hAnchor="margin" w:xAlign="right" w:y="1"/>
    </w:pPr>
    <w:r>
      <w:fldChar w:fldCharType="begin"/>
    </w:r>
    <w:r>
      <w:instrText xml:space="preserve">PAGE  </w:instrText>
    </w:r>
    <w:r>
      <w:fldChar w:fldCharType="separate"/>
    </w:r>
    <w:r w:rsidR="0019635F">
      <w:rPr>
        <w:noProof/>
      </w:rPr>
      <w:t>33</w:t>
    </w:r>
    <w:r>
      <w:rPr>
        <w:noProof/>
      </w:rPr>
      <w:fldChar w:fldCharType="end"/>
    </w:r>
  </w:p>
  <w:p w:rsidR="004D7420" w:rsidRDefault="004D7420"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20" w:rsidRDefault="004D7420">
      <w:r>
        <w:separator/>
      </w:r>
    </w:p>
  </w:footnote>
  <w:footnote w:type="continuationSeparator" w:id="0">
    <w:p w:rsidR="004D7420" w:rsidRDefault="004D7420">
      <w:r>
        <w:continuationSeparator/>
      </w:r>
    </w:p>
  </w:footnote>
  <w:footnote w:id="1">
    <w:p w:rsidR="004D7420" w:rsidRPr="00C349BB" w:rsidRDefault="004D7420"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D7420" w:rsidRPr="00BB507F" w:rsidRDefault="004D742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4D7420" w:rsidRPr="00711EA6" w:rsidRDefault="004D7420"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4D7420" w:rsidRPr="00711EA6" w:rsidRDefault="004D7420"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D7420" w:rsidRPr="00EB42EB" w:rsidRDefault="004D7420"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4D7420" w:rsidRPr="00EB42EB" w:rsidRDefault="004D7420"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Default="004D742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4D7420" w:rsidRPr="00FF7C44" w:rsidRDefault="004D742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9635F">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Pr="00BF790E" w:rsidRDefault="004D7420"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Default="004D7420">
    <w:pPr>
      <w:pStyle w:val="afff9"/>
      <w:framePr w:wrap="around" w:vAnchor="text" w:hAnchor="margin" w:xAlign="center" w:y="1"/>
    </w:pPr>
    <w:r>
      <w:fldChar w:fldCharType="begin"/>
    </w:r>
    <w:r>
      <w:instrText xml:space="preserve">PAGE  </w:instrText>
    </w:r>
    <w:r>
      <w:fldChar w:fldCharType="end"/>
    </w:r>
  </w:p>
  <w:p w:rsidR="004D7420" w:rsidRDefault="004D7420">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20" w:rsidRPr="00E72FCC" w:rsidRDefault="004D7420"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35F"/>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0F9E"/>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349F"/>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420"/>
    <w:rsid w:val="004D7C3C"/>
    <w:rsid w:val="004E0FCD"/>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4323"/>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D4B37"/>
    <w:rsid w:val="005E013C"/>
    <w:rsid w:val="005E077A"/>
    <w:rsid w:val="005E158A"/>
    <w:rsid w:val="005E22EB"/>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C09"/>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14AE"/>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231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0384"/>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23F"/>
    <w:rsid w:val="00B93CB8"/>
    <w:rsid w:val="00B941FB"/>
    <w:rsid w:val="00B949EB"/>
    <w:rsid w:val="00B96DC4"/>
    <w:rsid w:val="00B972E2"/>
    <w:rsid w:val="00B9759B"/>
    <w:rsid w:val="00BA0283"/>
    <w:rsid w:val="00BA0E26"/>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677E3"/>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03C"/>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32D"/>
    <w:rsid w:val="00DE16EB"/>
    <w:rsid w:val="00DE2A3A"/>
    <w:rsid w:val="00DE3E29"/>
    <w:rsid w:val="00DE47CE"/>
    <w:rsid w:val="00DE5155"/>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A75B8"/>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9F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C2E22"/>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ST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header" Target="header5.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B5C4-8F8A-4A24-B2CA-F5418F0D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35</Pages>
  <Words>11210</Words>
  <Characters>63900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40</cp:revision>
  <cp:lastPrinted>2021-07-28T11:32:00Z</cp:lastPrinted>
  <dcterms:created xsi:type="dcterms:W3CDTF">2020-09-22T08:48:00Z</dcterms:created>
  <dcterms:modified xsi:type="dcterms:W3CDTF">2021-07-28T12:23:00Z</dcterms:modified>
</cp:coreProperties>
</file>