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01.13.07.03.33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10.20.13.122</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Минтай замороженный</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2 300,00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01.13.07.02.60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03.11.20.161</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Сельдь атлантическая охлажденная</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200,00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Минтай замороженный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2 300,00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Сельдь атлантическая охлажденная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146575-20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