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spacing w:line="264" w:lineRule="auto"/>
        <w:jc w:val="center"/>
        <w:tabs>
          <w:tab w:val="left" w:pos="4995" w:leader="none"/>
        </w:tabs>
        <w:rPr>
          <w:spacing w:val="-2"/>
          <w:lang w:val="en-us"/>
        </w:rPr>
      </w:pPr>
      <w:r>
        <w:rPr>
          <w:spacing w:val="-2"/>
          <w:lang w:val="en-us"/>
        </w:rPr>
        <w:t>ТЕХНИЧЕСКОЕ  ЗАДАНИЕ</w:t>
      </w:r>
    </w:p>
    <w:p>
      <w:pPr>
        <w:pStyle w:val="1"/>
        <w:spacing w:before="0" w:after="0"/>
        <w:jc w:val="center"/>
        <w:tabs>
          <w:tab w:val="left" w:pos="4995" w:leader="none"/>
        </w:tabs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на оказание услуг по периодическому техническому обслуживанию системы пожарной сигнализации (СПС), </w:t>
      </w:r>
    </w:p>
    <w:p>
      <w:pPr>
        <w:pStyle w:val="1"/>
        <w:spacing w:before="0" w:after="0"/>
        <w:jc w:val="center"/>
        <w:tabs>
          <w:tab w:val="left" w:pos="4995" w:leader="none"/>
        </w:tabs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системы оповещения и управления эвакуацией </w:t>
      </w:r>
    </w:p>
    <w:p>
      <w:pPr>
        <w:pStyle w:val="1"/>
        <w:spacing w:before="0" w:after="0"/>
        <w:jc w:val="center"/>
        <w:tabs>
          <w:tab w:val="left" w:pos="4995" w:leader="none"/>
        </w:tabs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людей при пожаре (СОУЭ) и автоматизации систем </w:t>
      </w:r>
    </w:p>
    <w:p>
      <w:pPr>
        <w:pStyle w:val="1"/>
        <w:spacing w:before="0" w:after="0"/>
        <w:jc w:val="center"/>
        <w:tabs>
          <w:tab w:val="left" w:pos="4995" w:leader="none"/>
        </w:tabs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дымоудаления и внутреннего противопожарного водопровода</w:t>
      </w:r>
    </w:p>
    <w:p>
      <w:pPr>
        <w:pStyle w:val="1"/>
        <w:spacing w:line="264" w:lineRule="auto"/>
        <w:jc w:val="center"/>
        <w:tabs>
          <w:tab w:val="left" w:pos="4995" w:leader="none"/>
        </w:tabs>
        <w:rPr>
          <w:spacing w:val="-2"/>
          <w:lang w:val="en-us"/>
        </w:rPr>
      </w:pPr>
      <w:r>
        <w:rPr>
          <w:spacing w:val="-2"/>
          <w:lang w:val="en-us"/>
        </w:rPr>
      </w:r>
    </w:p>
    <w:p>
      <w:pPr>
        <w:pStyle w:val="1"/>
        <w:spacing w:line="264" w:lineRule="auto"/>
        <w:jc w:val="center"/>
        <w:tabs>
          <w:tab w:val="left" w:pos="4995" w:leader="none"/>
        </w:tabs>
        <w:rPr>
          <w:spacing w:val="-2"/>
          <w:lang w:val="en-us"/>
        </w:rPr>
      </w:pPr>
      <w:r>
        <w:rPr>
          <w:spacing w:val="-2"/>
        </w:rPr>
        <w:t xml:space="preserve">Раздел  </w:t>
      </w:r>
      <w:r>
        <w:rPr>
          <w:spacing w:val="-2"/>
          <w:lang w:val="en-us"/>
        </w:rPr>
        <w:t>I</w:t>
      </w:r>
      <w:r>
        <w:rPr>
          <w:spacing w:val="-2"/>
          <w:lang w:val="en-us"/>
        </w:rPr>
      </w:r>
    </w:p>
    <w:p>
      <w:pPr>
        <w:spacing w:line="276" w:lineRule="auto"/>
        <w:jc w:val="center"/>
        <w:suppressAutoHyphens/>
        <w:hyphenationLines w:val="0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Состав и периодничность проводимых работ по СПС и СОУЭ</w:t>
      </w:r>
    </w:p>
    <w:p>
      <w:r/>
    </w:p>
    <w:p>
      <w:pPr>
        <w:spacing w:line="276" w:lineRule="auto"/>
        <w:jc w:val="center"/>
        <w:suppressAutoHyphens/>
        <w:hyphenationLines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СОСТАВ И ПЕРИОДИЧНОСТЬ РЕГЛАМЕНТНЫХ РАБОТ СПС:</w:t>
      </w:r>
    </w:p>
    <w:tbl>
      <w:tblPr>
        <w:jc w:val="left"/>
        <w:tblInd w:w="0" w:type="dxa"/>
        <w:tblW w:w="9802" w:type="dxa"/>
      </w:tblPr>
      <w:tblGrid>
        <w:gridCol w:w="5261"/>
        <w:gridCol w:w="2232"/>
        <w:gridCol w:w="2309"/>
      </w:tblGrid>
      <w:tr>
        <w:trPr>
          <w:trHeight w:val="307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Перечень работ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Периодичность выполнения работ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859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 ТО ИП, выносных устройств индикации ИП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Осмотр один раз в 6 мес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30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 функционирования один раз в год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1128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 ТО ППКП (в том числе все функциональные модули блочно-модульных ППКП, за исключением модулей ввода, модулей вывода)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Осмотр один раз в 1 мес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30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 функционирования один раз в 3 мес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845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 ТО источников бесперебойного электропитания (ИБЭ) технических средств пожарной автоматики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Осмотр один раз в 1 мес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30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 функционирования один раз в 6 мес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845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 ТО модулей ввода, модулей вывода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Осмотр один раз в год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30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 функционирования один раз в год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566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 Комплексные испытания на работоспособность СПС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Один раз в год, но не более 15 месяцев между испытаниями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 Замена технических средств СПС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соответствии с графиком замены или при необходимости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 Ремонт СПС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 необходимости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835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 Устранение неисправностей, ложных срабатываний, восстановление дежурного режима работы СПС после срабатывания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 необходимости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835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Передача сигналов на управление системой дымоудаления и системой противопожарного водопровода.</w:t>
            </w:r>
          </w:p>
        </w:tc>
        <w:tc>
          <w:tcPr>
            <w:tcW w:w="4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 функционирования один раз в 3 мес</w:t>
            </w:r>
          </w:p>
        </w:tc>
      </w:tr>
      <w:tr>
        <w:trPr>
          <w:trHeight w:val="854" w:hRule="exact"/>
        </w:trPr>
        <w:tc>
          <w:tcPr>
            <w:tcW w:w="5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 Выполнение рекомендаций, изложенных в технической документации производителей технических средств СПС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соответствии с технической документацией производителей технических средств СПС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Требования к осмотру технических средств СПС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 При осмотре автоматических точечных ИП и выносных устройств индикации необходимо удостовериться, насколько это возможно, что они корректно промаркированы, не окрашены или не повреждены иным образом. Также необходимо убедиться, что не были произведены перепланировки помещений, перенос ИП, и в пространстве на расстоянии 0,5 м от ИП не произошло никаких изменений с момента предыдущего осмотра.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 осмотре аспирационных ИП необходимо убедиться, насколько это возможно, что все воздухозаборные отверстия открыты.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 При осмотре ручных ИП необходимо удостовериться, что ИП не повреждены, корректно промаркированы, не закрыты посторонними предметами или мебелью или не перенесены с момента последнего осмотра.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3. При осмотре ИБЭ необходимо убедиться, что индикация соответствует дежурному режиму.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4. При осмотре ППКП необходимо убедиться, что индикация соответствует дежурному режиму или с момента прошлого осмотра количество неисправностей и отключений не изменилось, а также, что все световые индикаторы и звуковые сигнализаторы функционируют, отсутствуют внешние повреждения корпусов приборов (функциональных блоков).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Также необходимо ознакомится с журналом событий ППКП и журналом регистрации извещений.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 При осмотре модулей (блоков) ввода и вывода необходимо убедиться, что отсутствуют видимые нарушения их корпусов или других факторов, негативно влияющих на их функциональность. При наличии на данных модулях (блоках) световой и звуковой возможности индикации она должна быть проверена в ходе осмотра или контроля функционирования.</w:t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Требования к испытаниям на работоспособность СПС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 Для проведения испытаний на работоспособность СПС испытатели должны быть обеспечены следующим оборудованием и средствами измерения: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</w:t>
        <w:tab/>
        <w:t>средства инициирования срабатывания ИП - натурные (тестовые) очаги пожара или их имитаторы (фены, баллончики с тестовым аэрозолем, аттенюаторы, тестовые излучатели и т. п.);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б)</w:t>
        <w:tab/>
        <w:t>средства измерения электрических параметров (тока, напряжения, сопротивления или комбинированные);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в)</w:t>
        <w:tab/>
        <w:t>средства измерения времени (секундомеры);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г)</w:t>
        <w:tab/>
        <w:t>средства измерения геометрических величин (рулетки, линейки и т. п.).</w:t>
      </w:r>
    </w:p>
    <w:p>
      <w:pPr>
        <w:spacing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Применение магнитов, кнопок, переключателей, вставляемых в дымовую камеру ИП предметов (в том числе являющихся частью ИП), показаний аналоговых значений и иных методов, проверяющих только электронные компоненты ИП не является контролем функционирования и проверки автоматических ИП.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 Средства измерений должны быть поверены.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 Контроль уровней доступа ППКП осуществляют путем анализа технической документации и визуально.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 Соблюдение требований нормативных документов по проектированию в отношении расположения технических средств и прокладки линий связи контролируют измерением расстояний и высот, требования к которым регламентируются нормативными документами по проектированию СПС.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spacing w:line="276" w:lineRule="auto"/>
        <w:jc w:val="center"/>
        <w:widowControl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b/>
          <w:color w:val="0d0d0d"/>
          <w:sz w:val="24"/>
          <w:szCs w:val="24"/>
        </w:rPr>
        <w:t>СОСТАВ ТЕХНИЧЕСКИХ СРЕДСТВ:</w:t>
      </w:r>
    </w:p>
    <w:p>
      <w:pPr>
        <w:spacing w:line="276" w:lineRule="auto"/>
        <w:widowControl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по адресу: г.Пущино, мкр. «Д», д.6а</w:t>
      </w:r>
    </w:p>
    <w:tbl>
      <w:tblPr>
        <w:jc w:val="left"/>
        <w:tblInd w:w="0" w:type="dxa"/>
        <w:tblW w:w="9776" w:type="dxa"/>
      </w:tblPr>
      <w:tblGrid>
        <w:gridCol w:w="3786"/>
        <w:gridCol w:w="4526"/>
        <w:gridCol w:w="1464"/>
      </w:tblGrid>
      <w:tr>
        <w:trPr>
          <w:trHeight w:val="62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Наименование установки, технических средств, узлов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Тип, марка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Кол-во</w:t>
            </w:r>
          </w:p>
        </w:tc>
      </w:tr>
      <w:tr>
        <w:trPr>
          <w:trHeight w:val="176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1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3</w:t>
            </w:r>
          </w:p>
        </w:tc>
      </w:tr>
      <w:tr>
        <w:trPr>
          <w:trHeight w:val="283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 приемно–контрольные, приборы управления, устройства  сигнально- пусковые пожарные.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РР-ПРО, ИБ-ПРО, Пульт-ПРО, БУ32-И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шт.</w:t>
            </w:r>
          </w:p>
        </w:tc>
      </w:tr>
      <w:tr>
        <w:trPr>
          <w:trHeight w:val="287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 выпрямительные, автоматики и заряда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БП-12/2А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шт.</w:t>
            </w:r>
          </w:p>
        </w:tc>
      </w:tr>
      <w:tr>
        <w:trPr>
          <w:trHeight w:val="29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Шлейф с ручными пожарными извещателями многоразового действия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ИПР-ПРО, Аврора-Т-ПРО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шт.</w:t>
            </w:r>
          </w:p>
        </w:tc>
      </w:tr>
      <w:tr>
        <w:trPr>
          <w:trHeight w:val="9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Шлейф с дымовыми пожарными извещателями типа ДИП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Аврора-ПРО, Аврора-ДТ-ПРО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184 шт.</w:t>
            </w:r>
          </w:p>
        </w:tc>
      </w:tr>
    </w:tbl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spacing w:line="276" w:lineRule="auto"/>
        <w:widowControl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по адресу: г.Пущино, ул. Южная, д.1</w:t>
      </w:r>
    </w:p>
    <w:tbl>
      <w:tblPr>
        <w:jc w:val="left"/>
        <w:tblInd w:w="0" w:type="dxa"/>
        <w:tblW w:w="9776" w:type="dxa"/>
      </w:tblPr>
      <w:tblGrid>
        <w:gridCol w:w="3786"/>
        <w:gridCol w:w="4526"/>
        <w:gridCol w:w="1464"/>
      </w:tblGrid>
      <w:tr>
        <w:trPr>
          <w:trHeight w:val="62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Наименование установки, технических средств, узлов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Тип, марка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Кол-во</w:t>
            </w:r>
          </w:p>
        </w:tc>
      </w:tr>
      <w:tr>
        <w:trPr>
          <w:trHeight w:val="176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1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3</w:t>
            </w:r>
          </w:p>
        </w:tc>
      </w:tr>
      <w:tr>
        <w:trPr>
          <w:trHeight w:val="283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 приемно–контрольные, приборы управления, устройства  сигнально- пусковые пожарные.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С2000М, Сигнал-10, С2000-БКИ,      С2000-СП1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шт.</w:t>
            </w:r>
          </w:p>
        </w:tc>
      </w:tr>
      <w:tr>
        <w:trPr>
          <w:trHeight w:val="287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 выпрямительные, автоматики и заряда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РИП-12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шт.</w:t>
            </w:r>
          </w:p>
        </w:tc>
      </w:tr>
      <w:tr>
        <w:trPr>
          <w:trHeight w:val="29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Шлейф с ручными пожарными извещателями многоразового действия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ИПР, ИП101-1А-А1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 шт.</w:t>
            </w:r>
          </w:p>
        </w:tc>
      </w:tr>
      <w:tr>
        <w:trPr>
          <w:trHeight w:val="9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Шлейф с дымовыми пожарными извещателями типа ДИП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ИП212-88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 шт.</w:t>
            </w:r>
          </w:p>
        </w:tc>
      </w:tr>
      <w:tr>
        <w:trPr>
          <w:trHeight w:val="176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линия (провод однопарный)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suppressAutoHyphens/>
              <w:hyphenationLines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Лоутокс 30нг(А)-FRLSLT 2х2х0,52,    КШС нг(А) FRLS 2х2х0,5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2950 м.</w:t>
            </w:r>
          </w:p>
        </w:tc>
      </w:tr>
    </w:tbl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r>
        <w:rPr>
          <w:rFonts w:eastAsia="Times New Roman"/>
          <w:color w:val="000000"/>
          <w:sz w:val="24"/>
          <w:szCs w:val="24"/>
        </w:rPr>
        <w:t>При проведении ТО, испытаний на работспособность средств СПС необходимо руководствоваться требованиям и рекомендациям</w:t>
      </w:r>
      <w:r>
        <w:t xml:space="preserve"> </w:t>
      </w:r>
      <w:r>
        <w:rPr>
          <w:sz w:val="24"/>
          <w:szCs w:val="24"/>
        </w:rPr>
        <w:t>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</w:t>
      </w:r>
      <w:r>
        <w:t>.</w:t>
      </w:r>
    </w:p>
    <w:p>
      <w:r/>
    </w:p>
    <w:p>
      <w:r/>
    </w:p>
    <w:p>
      <w:pPr>
        <w:spacing w:line="276" w:lineRule="auto"/>
        <w:jc w:val="center"/>
        <w:suppressAutoHyphens/>
        <w:hyphenationLines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СОСТАВ И ПЕРИОДИЧНОСТЬ РЕГЛАМЕНТНЫХ РАБОТ СОУЭ:</w:t>
      </w:r>
    </w:p>
    <w:tbl>
      <w:tblPr>
        <w:jc w:val="left"/>
        <w:tblInd w:w="0" w:type="dxa"/>
        <w:tblW w:w="9648" w:type="dxa"/>
      </w:tblPr>
      <w:tblGrid>
        <w:gridCol w:w="4258"/>
        <w:gridCol w:w="5390"/>
      </w:tblGrid>
      <w:tr>
        <w:trPr>
          <w:trHeight w:val="288" w:hRule="exact"/>
        </w:trPr>
        <w:tc>
          <w:tcPr>
            <w:tcW w:w="42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работ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 w:line="23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Периодичность выполнения работ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1042" w:hRule="exact"/>
        </w:trPr>
        <w:tc>
          <w:tcPr>
            <w:tcW w:w="42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 Обслуживание световых, звуковых и речевых пожарных оповещателей (очистка, протирка и т. п.)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Периодичность выполнения работ в соответствии с графиком, рекомендациями изготовителей, по мере необходимости, но не реже одного раза в три месяца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1786" w:hRule="exact"/>
        </w:trPr>
        <w:tc>
          <w:tcPr>
            <w:tcW w:w="42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 Проверка основного и резервного источников электропитания, проверка автоматического переключения цепей электропитания с основного ввода на резервный, проверка работоспособности отдельных компонентов СОУЭ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Ежеквартально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653" w:hRule="atLeast"/>
        </w:trPr>
        <w:tc>
          <w:tcPr>
            <w:tcW w:w="42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 Проверка работоспособности СОУЭ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Два раза в год, но не более 7 мес. между проверка</w:t>
            </w:r>
            <w:r>
              <w:rPr>
                <w:rFonts w:eastAsia="Times New Roman"/>
                <w:sz w:val="24"/>
                <w:szCs w:val="24"/>
              </w:rPr>
              <w:t>ми</w:t>
            </w:r>
          </w:p>
        </w:tc>
      </w:tr>
      <w:tr>
        <w:trPr>
          <w:trHeight w:val="668" w:hRule="atLeast"/>
        </w:trPr>
        <w:tc>
          <w:tcPr>
            <w:tcW w:w="42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 Замена технических средств и ресурсных элементов СОУЭ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соответствии с графиком замены или при необходимости</w:t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1795" w:hRule="exact"/>
        </w:trPr>
        <w:tc>
          <w:tcPr>
            <w:tcW w:w="42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 Осуществление контроля за исправностью приборов контроля и управления СОУЭ, а также линий связи, обеспечивающих взаимодействие и обмен информацией между компонентами системы пожарной автоматики и СОУЭ</w:t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</w:tbl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/>
      <w:bookmarkStart w:id="0" w:name="bookmark0"/>
      <w:bookmarkEnd w:id="0"/>
      <w:r/>
      <w:r>
        <w:rPr>
          <w:rFonts w:eastAsia="Times New Roman"/>
          <w:b/>
          <w:bCs/>
          <w:color w:val="000000"/>
          <w:sz w:val="24"/>
          <w:szCs w:val="24"/>
        </w:rPr>
        <w:t>Требования к испытаниям на работоспособность С</w:t>
      </w:r>
      <w:r>
        <w:rPr>
          <w:rFonts w:eastAsia="Times New Roman"/>
          <w:b/>
          <w:bCs/>
          <w:sz w:val="24"/>
          <w:szCs w:val="24"/>
        </w:rPr>
        <w:t>ОУЭ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 ходе испытаний проверяют следующие основные параметры СОУЭ: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</w:t>
        <w:tab/>
        <w:t>автоматический контроль целостности линий связи с внешними устройствами (пожарными оповещателями и компонентами прибора), световую и звуковую сигнализацию о возникшей неисправности;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б)</w:t>
        <w:tab/>
        <w:t>обеспечение уровней доступа;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в)</w:t>
        <w:tab/>
        <w:t>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г)</w:t>
        <w:tab/>
        <w:t>активацию пожарных оповещателей;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д)</w:t>
        <w:tab/>
        <w:t>соблюдение требований нормативных документов по пожарной безопасности, касающихся вопросов проектирования и расположения технических средств и прокладки линий связи;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е)</w:t>
        <w:tab/>
        <w:t>выполнение запрограммированного алгоритма работы СОУЭ, определенного проектной (рабочей) документацией;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ж)</w:t>
        <w:tab/>
        <w:t>уровень звукового давления;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и) </w:t>
        <w:tab/>
        <w:t>влияние неисправности, вызванной тепловым воздействием на оповещатель.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 Проверку проводят не менее двух испытателей, обеспеченных двухсторонней связью, один из которых находится в помещении дежурного поста.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 Для проведения проверок испытатели должны быть обеспечены следующим оборудованием и средствами измерения: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средствами измерения электрических параметров (тока, напряжения, сопротивления или комбинированными);</w:t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средствами измерения звукового давления (шумомеры);</w:t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средствами измерения времени (секундомеры);</w:t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средствами измерения геометрических величин (рулетки, линейки и т. п.);</w:t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частотомером.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3. Средства измерений должны быть поверены в установленном порядке.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spacing w:line="276" w:lineRule="auto"/>
        <w:jc w:val="center"/>
        <w:widowControl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b/>
          <w:color w:val="0d0d0d"/>
          <w:sz w:val="24"/>
          <w:szCs w:val="24"/>
        </w:rPr>
        <w:t>СОСТАВ ТЕХНИЧЕСКИХ СРЕДСТВ:</w:t>
      </w:r>
    </w:p>
    <w:p>
      <w:pPr>
        <w:spacing w:line="276" w:lineRule="auto"/>
        <w:widowControl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по адресу: г.Пущино, мкр. «Д», д.6а</w:t>
      </w:r>
    </w:p>
    <w:tbl>
      <w:tblPr>
        <w:jc w:val="left"/>
        <w:tblInd w:w="0" w:type="dxa"/>
        <w:tblW w:w="9776" w:type="dxa"/>
      </w:tblPr>
      <w:tblGrid>
        <w:gridCol w:w="3786"/>
        <w:gridCol w:w="4526"/>
        <w:gridCol w:w="1464"/>
      </w:tblGrid>
      <w:tr>
        <w:trPr>
          <w:trHeight w:val="62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Наименование установки, технических средств, узлов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Тип, марка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Кол-во</w:t>
            </w:r>
          </w:p>
        </w:tc>
      </w:tr>
      <w:tr>
        <w:trPr>
          <w:trHeight w:val="176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1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3</w:t>
            </w:r>
          </w:p>
        </w:tc>
      </w:tr>
      <w:tr>
        <w:trPr>
          <w:trHeight w:val="44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сигнальные световые  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Восход-РС1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шт.</w:t>
            </w:r>
          </w:p>
        </w:tc>
      </w:tr>
      <w:tr>
        <w:trPr>
          <w:trHeight w:val="44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сигнальные звуковые  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Восход-РС1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шт.</w:t>
            </w:r>
          </w:p>
        </w:tc>
      </w:tr>
      <w:tr>
        <w:trPr>
          <w:trHeight w:val="283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pStyle w:val="2"/>
              <w:spacing w:before="0" w:after="0"/>
              <w:tabs>
                <w:tab w:val="left" w:pos="3150" w:leader="none"/>
                <w:tab w:val="center" w:pos="4763" w:leader="none"/>
              </w:tabs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Прибор оповещения</w:t>
              <w:tab/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Тромбон-ПУ-4, Тромбон-УМ4-240,     Тромбон-БК, Тромбон-ИП-К,                      ВС-ПК Вектор Оповещение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>
        <w:trPr>
          <w:trHeight w:val="287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Громкоговоритель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Глагол-Н1-3, Глагол-Н1-5, Глагол-25ГР-31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pStyle w:val="2"/>
              <w:spacing w:before="0" w:after="0"/>
              <w:tabs>
                <w:tab w:val="left" w:pos="3150" w:leader="none"/>
                <w:tab w:val="center" w:pos="4763" w:leader="none"/>
              </w:tabs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Блок безперебойного питания</w:t>
              <w:tab/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pStyle w:val="2"/>
              <w:spacing w:before="0" w:after="0"/>
              <w:jc w:val="center"/>
              <w:tabs>
                <w:tab w:val="left" w:pos="3150" w:leader="none"/>
                <w:tab w:val="center" w:pos="4763" w:leader="none"/>
              </w:tabs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Тромбон-БП-21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>
        <w:trPr>
          <w:trHeight w:val="176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 xml:space="preserve">Соединительные линии 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ШВВП 2х0,75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</w:t>
            </w:r>
          </w:p>
        </w:tc>
      </w:tr>
    </w:tbl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spacing w:line="276" w:lineRule="auto"/>
        <w:widowControl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по адресу: г.Пущино, ул. Южная, д.1</w:t>
      </w:r>
    </w:p>
    <w:tbl>
      <w:tblPr>
        <w:jc w:val="left"/>
        <w:tblInd w:w="0" w:type="dxa"/>
        <w:tblW w:w="9776" w:type="dxa"/>
      </w:tblPr>
      <w:tblGrid>
        <w:gridCol w:w="3786"/>
        <w:gridCol w:w="4526"/>
        <w:gridCol w:w="1464"/>
      </w:tblGrid>
      <w:tr>
        <w:trPr>
          <w:trHeight w:val="62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Наименование установки, технических средств, узлов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Тип, марка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Кол-во</w:t>
            </w:r>
          </w:p>
        </w:tc>
      </w:tr>
      <w:tr>
        <w:trPr>
          <w:trHeight w:val="176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1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3</w:t>
            </w:r>
          </w:p>
        </w:tc>
      </w:tr>
      <w:tr>
        <w:trPr>
          <w:trHeight w:val="44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сигнальные световые  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Молния-12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 шт.</w:t>
            </w:r>
          </w:p>
        </w:tc>
      </w:tr>
      <w:tr>
        <w:trPr>
          <w:trHeight w:val="448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сигнальные звуковые  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Молния-12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 шт.</w:t>
            </w:r>
          </w:p>
        </w:tc>
      </w:tr>
      <w:tr>
        <w:trPr>
          <w:trHeight w:val="283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pStyle w:val="2"/>
              <w:spacing w:before="0" w:after="0"/>
              <w:tabs>
                <w:tab w:val="left" w:pos="3150" w:leader="none"/>
                <w:tab w:val="center" w:pos="4763" w:leader="none"/>
              </w:tabs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Прибор оповещения</w:t>
              <w:tab/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PAM-480A+F, консоль RM-05A, Рокот-2, РАМ-CDM, PAM-T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Громкоговоритель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SWS-10, CH-530, АС-3-2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</w:t>
            </w:r>
          </w:p>
        </w:tc>
      </w:tr>
      <w:tr>
        <w:trPr>
          <w:trHeight w:val="287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pStyle w:val="2"/>
              <w:spacing w:before="0" w:after="0"/>
              <w:tabs>
                <w:tab w:val="left" w:pos="3150" w:leader="none"/>
                <w:tab w:val="center" w:pos="4763" w:leader="none"/>
              </w:tabs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Источник  безперебойного питания</w:t>
              <w:tab/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pStyle w:val="2"/>
              <w:spacing w:before="0" w:after="0"/>
              <w:jc w:val="center"/>
              <w:tabs>
                <w:tab w:val="left" w:pos="3150" w:leader="none"/>
                <w:tab w:val="center" w:pos="4763" w:leader="none"/>
              </w:tabs>
              <w:pBdr>
                <w:top w:val="nil" w:sz="0" w:space="0" w:color="000000" tmln="20, 20, 20, 0"/>
                <w:left w:val="nil" w:sz="0" w:space="0" w:color="000000" tmln="20, 20, 20, 0"/>
                <w:bottom w:val="nil" w:sz="0" w:space="0" w:color="000000" tmln="20, 20, 20, 0"/>
                <w:right w:val="nil" w:sz="0" w:space="0" w:color="000000" tmln="20, 20, 20, 0"/>
                <w:between w:val="nil" w:sz="0" w:space="0" w:color="000000" tmln="20, 20, 20, 0"/>
              </w:pBdr>
              <w:shd w:val="no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SKAT-UPS 3000/1800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>
        <w:trPr>
          <w:trHeight w:val="176" w:hRule="atLeast"/>
        </w:trPr>
        <w:tc>
          <w:tcPr>
            <w:tcW w:w="378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 xml:space="preserve">Соединительные линии </w:t>
            </w:r>
          </w:p>
        </w:tc>
        <w:tc>
          <w:tcPr>
            <w:tcW w:w="4526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suppressAutoHyphens/>
              <w:hyphenationLines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Лоутокс 30нг(А)-FRLSLT 2х2х0,52</w:t>
            </w:r>
          </w:p>
        </w:tc>
        <w:tc>
          <w:tcPr>
            <w:tcW w:w="1464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639392255" protected="0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1000</w:t>
            </w:r>
          </w:p>
        </w:tc>
      </w:tr>
    </w:tbl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 проведении ТО, испытаний на работспособность средств СОУЭ необходимо руководствоваться требованиям и рекомендациям</w:t>
      </w:r>
      <w:r>
        <w:rPr>
          <w:sz w:val="24"/>
          <w:szCs w:val="24"/>
        </w:rPr>
        <w:t xml:space="preserve"> ГОСТ Р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</w:t>
      </w:r>
    </w:p>
    <w:p>
      <w:pPr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="264" w:lineRule="auto"/>
        <w:jc w:val="center"/>
        <w:tabs>
          <w:tab w:val="left" w:pos="4995" w:leader="none"/>
        </w:tabs>
        <w:rPr>
          <w:spacing w:val="-2"/>
          <w:lang w:val="en-us"/>
        </w:rPr>
      </w:pPr>
      <w:r>
        <w:rPr>
          <w:spacing w:val="-2"/>
        </w:rPr>
        <w:t xml:space="preserve">Раздел  </w:t>
      </w:r>
      <w:r>
        <w:rPr>
          <w:spacing w:val="-2"/>
          <w:lang w:val="en-us"/>
        </w:rPr>
        <w:t>II</w:t>
      </w:r>
      <w:r>
        <w:rPr>
          <w:spacing w:val="-2"/>
          <w:lang w:val="en-us"/>
        </w:rPr>
      </w:r>
    </w:p>
    <w:p>
      <w:pPr>
        <w:pStyle w:val="1"/>
        <w:spacing/>
        <w:jc w:val="center"/>
        <w:tabs>
          <w:tab w:val="left" w:pos="4995" w:leader="none"/>
        </w:tabs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Требования к исполнителю и качеству оказания услуг</w:t>
      </w:r>
    </w:p>
    <w:p>
      <w:pPr>
        <w:ind w:firstLine="720"/>
        <w:spacing w:line="276" w:lineRule="auto"/>
        <w:jc w:val="both"/>
        <w:widowControl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</w:r>
    </w:p>
    <w:p>
      <w:pPr>
        <w:ind w:firstLine="720"/>
        <w:spacing/>
        <w:jc w:val="both"/>
        <w:widowControl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Требования к качеству услуг: </w:t>
      </w:r>
    </w:p>
    <w:p>
      <w:pPr>
        <w:ind w:firstLine="720"/>
        <w: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Услуги должны оказываться Исполнителем после заключения Контракта в сроки, указанные в нём, с использованием своих материалов, своими силами и средствами, обеспечив их надлежащее качество. </w:t>
      </w:r>
    </w:p>
    <w:p>
      <w:pPr>
        <w:ind w:firstLine="720"/>
        <w: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2. При техническом обслуживании систем  противодымной вентиляции должны применяться высокоэффективные и безопасные материалы и средства, допущенные в установленном порядке к использованию на территории Российской Федерации (наличие необходимых сертификатов соответствия, инструкций по применению и проч.). </w:t>
      </w:r>
    </w:p>
    <w:p>
      <w:pPr>
        <w:ind w:firstLine="720"/>
        <w: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При этом гарантия качества на материалы (запасные засти), используемые для оказания услуг, должна быть не меньше гарантии, установленной производителями  таких товаров.</w:t>
      </w:r>
    </w:p>
    <w:p>
      <w:pPr>
        <w:ind w:firstLine="720"/>
        <w: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ind w:firstLine="720"/>
        <w:spacing/>
        <w:jc w:val="both"/>
        <w:widowControl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Требования к Исполнителю:</w:t>
      </w:r>
      <w:r>
        <w:rPr>
          <w:rFonts w:eastAsia="Calibri"/>
          <w:sz w:val="24"/>
          <w:szCs w:val="24"/>
        </w:rPr>
      </w:r>
    </w:p>
    <w:p>
      <w:pPr>
        <w:ind w:firstLine="720"/>
        <w:spacing/>
        <w:jc w:val="both"/>
        <w:widowControl/>
        <w:tabs>
          <w:tab w:val="left" w:pos="0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Наличие </w:t>
      </w:r>
      <w:r>
        <w:rPr>
          <w:rFonts w:eastAsia="Calibri"/>
          <w:b/>
          <w:bCs/>
          <w:color w:val="000000"/>
          <w:sz w:val="24"/>
          <w:szCs w:val="24"/>
        </w:rPr>
        <w:t xml:space="preserve">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сооружений, </w:t>
      </w:r>
      <w:r>
        <w:rPr>
          <w:rFonts w:eastAsia="Calibri"/>
          <w:color w:val="000000"/>
          <w:sz w:val="24"/>
          <w:szCs w:val="24"/>
        </w:rPr>
        <w:t>выданной в соответствии с Федеральным законом от 04.05.2011  № 99-ФЗ «О лицензировании отдельных видов деятельности».</w:t>
      </w:r>
    </w:p>
    <w:p>
      <w:pPr>
        <w:ind w:firstLine="720"/>
        <w:spacing/>
        <w:jc w:val="both"/>
        <w:widowControl/>
        <w:tabs>
          <w:tab w:val="left" w:pos="0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В лицензии должны быть указаны следующие виды работ, выполняемые в составе лицензируемого вида деятельности:</w:t>
      </w:r>
    </w:p>
    <w:p>
      <w:pPr>
        <w:ind w:firstLine="720"/>
        <w:spacing/>
        <w:jc w:val="both"/>
        <w:widowControl/>
        <w:tabs>
          <w:tab w:val="left" w:pos="0" w:leader="none"/>
        </w:tabs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>
      <w:pPr>
        <w:ind w:firstLine="720"/>
        <w:spacing/>
        <w:jc w:val="both"/>
        <w:widowControl/>
        <w:tabs>
          <w:tab w:val="left" w:pos="0" w:leader="none"/>
        </w:tabs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</w:t>
      </w:r>
    </w:p>
    <w:p>
      <w:pPr>
        <w:ind w:firstLine="720"/>
        <w:widowControl/>
        <w:tabs>
          <w:tab w:val="left" w:pos="0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ИЛИ</w:t>
      </w:r>
    </w:p>
    <w:p>
      <w:pPr>
        <w:ind w:firstLine="720"/>
        <w:spacing/>
        <w:jc w:val="both"/>
        <w:widowControl/>
        <w:tabs>
          <w:tab w:val="left" w:pos="0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8"/>
          <w:szCs w:val="28"/>
        </w:rPr>
        <w:t>-</w:t>
      </w: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наличие</w:t>
      </w:r>
      <w:r>
        <w:rPr>
          <w:rFonts w:eastAsia="Calibri"/>
          <w:b/>
          <w:bCs/>
          <w:color w:val="000000"/>
          <w:sz w:val="24"/>
          <w:szCs w:val="24"/>
        </w:rPr>
        <w:t xml:space="preserve"> действующей лицензии на производство работ по монтажу, ремонту и обслуживанию средств обеспечения пожарной безопасности зданий и сооружений,</w:t>
      </w:r>
      <w:r>
        <w:rPr>
          <w:rFonts w:eastAsia="Calibri"/>
          <w:color w:val="000000"/>
          <w:sz w:val="24"/>
          <w:szCs w:val="24"/>
        </w:rPr>
        <w:t xml:space="preserve"> выданной </w:t>
      </w:r>
      <w:r>
        <w:rPr>
          <w:rFonts w:eastAsia="Calibri"/>
          <w:color w:val="000000"/>
          <w:sz w:val="24"/>
          <w:szCs w:val="24"/>
        </w:rPr>
        <w:t>в соответствии с Федеральным законом от 08.08.2001 № 128-ФЗ О лицензировании отдельных видов деятельности».</w:t>
      </w:r>
      <w:r>
        <w:rPr>
          <w:rFonts w:eastAsia="Calibri"/>
          <w:color w:val="000000"/>
          <w:sz w:val="24"/>
          <w:szCs w:val="24"/>
        </w:rPr>
      </w:r>
    </w:p>
    <w:p>
      <w:pPr>
        <w:ind w:firstLine="720"/>
        <w:spacing/>
        <w:jc w:val="both"/>
        <w:widowControl/>
        <w:tabs>
          <w:tab w:val="left" w:pos="0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В лицензии должны быть указаны следующие виды работ, выполняемые в составе лицензируемого вида деятельности:</w:t>
      </w:r>
    </w:p>
    <w:p>
      <w:pPr>
        <w:spacing/>
        <w:jc w:val="both"/>
        <w:widowControl/>
        <w:tabs>
          <w:tab w:val="left" w:pos="0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  <w:t>- Монтаж, ремонт и обслуживание установок пожарной и охранно-пожарной сигнализации;</w:t>
      </w:r>
    </w:p>
    <w:p>
      <w:pPr>
        <w:spacing/>
        <w:jc w:val="both"/>
        <w:widowControl/>
        <w:tabs>
          <w:tab w:val="left" w:pos="0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  <w:t>- Монтаж, ремонт и обслуживание системы оповещения и управления эвакуацией людей при пожаре;</w:t>
      </w:r>
    </w:p>
    <w:p>
      <w:pPr>
        <w:ind w:firstLine="567"/>
        <w:spacing/>
        <w:contextualSpacing/>
        <w:jc w:val="both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sz w:val="24"/>
          <w:szCs w:val="24"/>
        </w:rPr>
      </w:pPr>
      <w:r>
        <w:rPr>
          <w:sz w:val="24"/>
          <w:szCs w:val="24"/>
        </w:rPr>
        <w:t>2. Исполнитель обязан выполнять работы по техническому обслуживанию квалифицированным рабочим персоналом и должен представить Заказчику список сотрудников с указанием фамилии, имени и отчества (</w:t>
      </w:r>
      <w:r>
        <w:rPr>
          <w:b/>
          <w:bCs/>
          <w:i/>
          <w:iCs/>
          <w:sz w:val="24"/>
          <w:szCs w:val="24"/>
        </w:rPr>
        <w:t xml:space="preserve">не менее 2-х, в    соответствии с требованиями приложений Б </w:t>
      </w:r>
      <w:r>
        <w:rPr>
          <w:rFonts w:eastAsia="Times New Roman"/>
          <w:b/>
          <w:bCs/>
          <w:i/>
          <w:iCs/>
          <w:sz w:val="24"/>
          <w:szCs w:val="24"/>
        </w:rPr>
        <w:t>ГОСТ Р 59639 - 2021 и ГОСТ Р 59639 - 2021</w:t>
      </w:r>
      <w:r>
        <w:rPr>
          <w:sz w:val="24"/>
          <w:szCs w:val="24"/>
        </w:rPr>
        <w:t>), который является неотъемлемой часть договора.</w:t>
      </w:r>
    </w:p>
    <w:p>
      <w:pPr>
        <w:ind w:firstLine="567"/>
        <w:spacing/>
        <w:contextualSpacing/>
        <w:jc w:val="both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Привлеченные к выполнению работ на объекте сотрудники:</w:t>
      </w:r>
      <w:r>
        <w:rPr>
          <w:rFonts w:eastAsia="Times New Roman"/>
          <w:sz w:val="24"/>
          <w:szCs w:val="24"/>
        </w:rPr>
      </w:r>
    </w:p>
    <w:p>
      <w:pPr>
        <w:ind w:right="39" w:firstLine="454"/>
        <w:spacing/>
        <w:jc w:val="both"/>
        <w:tabs>
          <w:tab w:val="left" w:pos="1195" w:leader="none"/>
        </w:tabs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solid" w:color="FFFFFF" tmshd="1677721856, 0, 16777215"/>
        <w:rPr>
          <w:rFonts w:eastAsia="Times New Roman"/>
          <w:sz w:val="24"/>
          <w:szCs w:val="24"/>
        </w:rPr>
      </w:pPr>
      <w:r>
        <w:rPr>
          <w:rFonts w:eastAsia="Times New Roman"/>
          <w:spacing w:val="1"/>
          <w:sz w:val="24"/>
          <w:szCs w:val="24"/>
        </w:rPr>
        <w:t xml:space="preserve">- </w:t>
      </w:r>
      <w:r>
        <w:rPr>
          <w:rFonts w:eastAsia="Times New Roman"/>
          <w:b/>
          <w:bCs/>
          <w:spacing w:val="1"/>
          <w:sz w:val="24"/>
          <w:szCs w:val="24"/>
        </w:rPr>
        <w:t>должны пройти аттестацию по заявленным видам работ и представить (иметь при себе) соответствующие удостоверения</w:t>
      </w:r>
      <w:r>
        <w:rPr>
          <w:rFonts w:eastAsia="Times New Roman"/>
          <w:spacing w:val="1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в соответствии с Приказом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(с изменениями и дополнениями)</w:t>
      </w:r>
    </w:p>
    <w:p>
      <w:pPr>
        <w:ind w:right="39" w:firstLine="454"/>
        <w:spacing/>
        <w:jc w:val="both"/>
        <w:tabs>
          <w:tab w:val="left" w:pos="454" w:leader="none"/>
          <w:tab w:val="left" w:pos="1195" w:leader="none"/>
        </w:tabs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solid" w:color="FFFFFF" tmshd="1677721856, 0, 16777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b/>
          <w:bCs/>
          <w:sz w:val="24"/>
          <w:szCs w:val="24"/>
        </w:rPr>
        <w:t xml:space="preserve">должны иметь допуск к работам на высоте </w:t>
      </w:r>
      <w:r>
        <w:rPr>
          <w:rFonts w:eastAsia="Times New Roman"/>
          <w:b/>
          <w:bCs/>
          <w:spacing w:val="1"/>
          <w:sz w:val="24"/>
          <w:szCs w:val="24"/>
        </w:rPr>
        <w:t>и представить (иметь при себе) соответствующие удостоверения</w:t>
      </w:r>
      <w:r>
        <w:rPr>
          <w:rFonts w:eastAsia="Times New Roman"/>
          <w:sz w:val="24"/>
          <w:szCs w:val="24"/>
        </w:rPr>
        <w:t xml:space="preserve"> (в соответствии с Приказом Министерства труда и социальной защиты РФ от 28 марта 2014 г. N 155н "Об утверждении Правил по охране труда при работе на высоте" (с изменениями и дополнениями)).</w:t>
      </w:r>
    </w:p>
    <w:p>
      <w:pPr>
        <w:ind w:firstLine="567"/>
        <w:spacing/>
        <w:contextualSpacing/>
        <w:jc w:val="both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sz w:val="24"/>
          <w:szCs w:val="24"/>
        </w:rPr>
      </w:pPr>
      <w:r>
        <w:rPr>
          <w:sz w:val="24"/>
          <w:szCs w:val="24"/>
        </w:rPr>
        <w:t>3. Необходимо наличие круглосуточной оперативной службы, обеспеченной комплексом запасных частей, для текущей эксплуатации и оперативного восстановления элементов СПС, СОУЭ. Проживание сотрудников на объектах категорически запрещено.</w:t>
      </w:r>
    </w:p>
    <w:p>
      <w:pPr>
        <w:ind w:firstLine="567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 Исполнитель должен прибыть на объект с момента получения заявки от Заказчика (персонала Заказчика):</w:t>
      </w:r>
    </w:p>
    <w:p>
      <w:pPr>
        <w:ind w:firstLine="567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при неисправности СПС (в сооветствии с п. 6.3.3 и п.6.5.1 ГОСТ Р 59638 - 2021):</w:t>
      </w:r>
    </w:p>
    <w:p>
      <w:pPr>
        <w:ind w:firstLine="850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рабочие дни, в рабочее время не позднее 30 минут;</w:t>
      </w:r>
    </w:p>
    <w:p>
      <w:pPr>
        <w:ind w:firstLine="850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рабочие дни, в нерабочее время не позднее 12 часов;</w:t>
      </w:r>
    </w:p>
    <w:p>
      <w:pPr>
        <w:ind w:firstLine="850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нерабочие и праздничные дни не позднее 24 часов.</w:t>
      </w:r>
    </w:p>
    <w:p>
      <w:pPr>
        <w:ind w:firstLine="567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при неисправности СОУЭ (в сооветствии с п. 6.5.1 ГОСТ Р 59639 - 2021):</w:t>
      </w:r>
    </w:p>
    <w:p>
      <w:pPr>
        <w:ind w:firstLine="850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рабочие дни, в рабочее время не позднее 15 минут;</w:t>
      </w:r>
    </w:p>
    <w:p>
      <w:pPr>
        <w:ind w:firstLine="850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рабочие дни, в нерабочее время не позднее 12 часов;</w:t>
      </w:r>
    </w:p>
    <w:p>
      <w:pPr>
        <w:ind w:firstLine="850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нерабочие и праздничные дни не позднее 24 часов.</w:t>
      </w:r>
    </w:p>
    <w:p>
      <w:pPr>
        <w:ind w:firstLine="850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этом устранение неисправности должно осуществляться за время не более 24 ч от момента её возникновения. При возникновении единичной неисправности, не оказывающей влияние на работоспособность систем время может быть увеличено до 72 ч.</w:t>
      </w:r>
    </w:p>
    <w:p>
      <w:pPr>
        <w:ind w:firstLine="567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Плановое техническое обслуживание проводить в рабочее время с 8-00 до 16-00, после    согласования с Заказчиком конкретного времени выполнения работ.</w:t>
      </w:r>
    </w:p>
    <w:p>
      <w:pPr>
        <w:ind w:firstLine="567"/>
        <w:spacing/>
        <w:jc w:val="both"/>
        <w:widowControl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20"/>
        <w:widowControl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Порядок сдачи, приемки и оплаты результатов услуг: </w:t>
      </w:r>
    </w:p>
    <w:p>
      <w:pPr>
        <w:ind w:firstLine="720"/>
        <w:spacing/>
        <w:jc w:val="both"/>
        <w:widowControl/>
        <w:tabs>
          <w:tab w:val="left" w:pos="851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По окончанию оказания услуг Исполнитель должен предоставить Заказчику:</w:t>
      </w:r>
    </w:p>
    <w:p>
      <w:pPr>
        <w:ind w:firstLine="720"/>
        <w:spacing/>
        <w:jc w:val="both"/>
        <w:widowControl/>
        <w:tabs>
          <w:tab w:val="left" w:pos="851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акты об оказании услуг;</w:t>
      </w:r>
    </w:p>
    <w:p>
      <w:pPr>
        <w:ind w:firstLine="720"/>
        <w:spacing/>
        <w:jc w:val="both"/>
        <w:widowControl/>
        <w:tabs>
          <w:tab w:val="left" w:pos="851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счет на оплату или счет-фактуру (в зависимости от применяемой Исполнителем системы налогообложения).</w:t>
      </w:r>
    </w:p>
    <w:p>
      <w:pPr>
        <w:ind w:firstLine="720"/>
        <w:spacing/>
        <w:jc w:val="both"/>
        <w:widowControl/>
        <w:tabs>
          <w:tab w:val="left" w:pos="851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При приемке проверяются объемы и качество оказанных услуг. В случае отсутствия претензий к объему и качеству оказанных услуг, Заказчик подписывает Акт об оказании услуг. В случае несогласия представляет письменный мотивированный отказ от подписания Акта об оказании услуг в срок не более трёх рабочих дней с указанием недостатков и срока их устранения. Срок исправления недостатков -  не более трех рабочих дней. </w:t>
      </w:r>
    </w:p>
    <w:p>
      <w:pPr>
        <w:ind w:firstLine="720"/>
        <w:spacing/>
        <w:jc w:val="both"/>
        <w:widowControl/>
        <w:tabs>
          <w:tab w:val="left" w:pos="851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Оплата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Заказчик осуществляет оплату ежемесячно в течении 15 (Пятнадцати) календарных дней с момента подписания акта об оказании услуг, на основании акта об оказании услуг, счета и счет-фактуры  в пределах выделенного лимита бюджетных обязательств на 2022 год.</w:t>
      </w:r>
    </w:p>
    <w:p>
      <w:pPr>
        <w:ind w:firstLine="720"/>
        <w:spacing/>
        <w:jc w:val="both"/>
        <w:widowControl/>
        <w:tabs>
          <w:tab w:val="left" w:pos="851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7.4. Авансирование не предусмотрено.</w:t>
      </w:r>
    </w:p>
    <w:p>
      <w:pPr>
        <w:ind w:firstLine="720"/>
        <w:spacing/>
        <w:jc w:val="both"/>
        <w:widowControl/>
        <w:tabs>
          <w:tab w:val="left" w:pos="851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ind w:firstLine="567"/>
        <w:spacing/>
        <w:jc w:val="both"/>
        <w:suppressAutoHyphens/>
        <w:hyphenationLines w:val="0"/>
        <w:widowControl/>
        <w:tabs>
          <w:tab w:val="left" w:pos="284" w:leader="none"/>
        </w:tabs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8. Цена контракта включает в себя:  </w:t>
      </w:r>
      <w:r>
        <w:rPr>
          <w:rFonts w:eastAsia="Calibri"/>
          <w:sz w:val="24"/>
          <w:szCs w:val="24"/>
        </w:rPr>
        <w:t>все расходы, связанные с оказанием Услуг, затраты на материалы, запасные части, необходимые для оказания Услуг, в том числе транспортные расходы, страхование, уплату таможенных пошлин, налогов, сборов, услуг доставки товара, его погрузке -разгруз и  иных обязательных платежей.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907" w:right="567" w:bottom="965"/>
      <w:paperSrc w:first="0" w:other="0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ISOCPEUR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Нумерованный список 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">
    <w:multiLevelType w:val="hybridMultilevel"/>
    <w:name w:val="Нумерованный список 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">
    <w:multiLevelType w:val="hybridMultilevel"/>
    <w:name w:val="Нумерованный список 5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">
    <w:multiLevelType w:val="hybridMultilevel"/>
    <w:name w:val="Нумерованный список 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">
    <w:multiLevelType w:val="hybridMultilevel"/>
    <w:name w:val="Нумерованный список 1"/>
    <w:lvl w:ilvl="0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  <w:lvl w:ilvl="1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  <w:lvl w:ilvl="2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  <w:lvl w:ilvl="3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  <w:lvl w:ilvl="4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  <w:lvl w:ilvl="5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  <w:lvl w:ilvl="6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  <w:lvl w:ilvl="7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  <w:lvl w:ilvl="8">
      <w:start w:val="1"/>
      <w:numFmt w:val="decimal"/>
      <w:suff w:val="tab"/>
      <w:lvlText w:val="7.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</w:abstractNum>
  <w:abstractNum w:abstractNumId="6">
    <w:multiLevelType w:val="hybridMultilevel"/>
    <w:name w:val="Нумерованный список 4"/>
    <w:lvl w:ilvl="0">
      <w:numFmt w:val="bullet"/>
      <w:suff w:val="tab"/>
      <w:lvlText w:val=""/>
      <w:lvlJc w:val="left"/>
      <w:pPr>
        <w:ind w:left="420" w:hanging="0"/>
      </w:pPr>
      <w:rPr>
        <w:rPr>
          <w:rFonts w:ascii="Symbol" w:hAnsi="Symbol" w:cs="Symbol"/>
          <w:b/>
          <w:bCs/>
        </w:rPr>
      </w:rPr>
    </w:lvl>
    <w:lvl w:ilvl="1">
      <w:numFmt w:val="bullet"/>
      <w:suff w:val="tab"/>
      <w:lvlText w:val="o"/>
      <w:lvlJc w:val="left"/>
      <w:pPr>
        <w:ind w:left="114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6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80" w:hanging="0"/>
      </w:pPr>
      <w:rPr>
        <w:rPr>
          <w:rFonts w:ascii="Symbol" w:hAnsi="Symbol" w:cs="Symbol"/>
        </w:rPr>
      </w:rPr>
    </w:lvl>
    <w:lvl w:ilvl="4">
      <w:numFmt w:val="bullet"/>
      <w:suff w:val="tab"/>
      <w:lvlText w:val="o"/>
      <w:lvlJc w:val="left"/>
      <w:pPr>
        <w:ind w:left="330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402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740" w:hanging="0"/>
      </w:pPr>
      <w:rPr>
        <w:rPr>
          <w:rFonts w:ascii="Symbol" w:hAnsi="Symbol" w:cs="Symbol"/>
        </w:rPr>
      </w:rPr>
    </w:lvl>
    <w:lvl w:ilvl="7">
      <w:numFmt w:val="bullet"/>
      <w:suff w:val="tab"/>
      <w:lvlText w:val="o"/>
      <w:lvlJc w:val="left"/>
      <w:pPr>
        <w:ind w:left="546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80" w:hanging="0"/>
      </w:pPr>
      <w:rPr>
        <w:rPr>
          <w:rFonts w:ascii="Wingdings" w:hAnsi="Wingdings" w:eastAsia="Wingdings" w:cs="Wingdings"/>
        </w:rPr>
      </w:rPr>
    </w:lvl>
  </w:abstractNum>
  <w:abstractNum w:abstractNumId="7">
    <w:multiLevelType w:val="hybridMultilevel"/>
    <w:name w:val="Нумерованный список 3"/>
    <w:lvl w:ilvl="0">
      <w:numFmt w:val="bullet"/>
      <w:suff w:val="tab"/>
      <w:lvlText w:val=""/>
      <w:lvlJc w:val="left"/>
      <w:pPr>
        <w:ind w:left="0" w:hanging="0"/>
      </w:pPr>
      <w:rPr>
        <w:rPr>
          <w:rFonts w:ascii="Symbol" w:hAnsi="Symbol" w:cs="Symbol"/>
          <w:b/>
          <w:bCs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 w:cs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 w:cs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8">
    <w:multiLevelType w:val="singleLevel"/>
    <w:name w:val="Bullet 4"/>
    <w:lvl w:ilvl="0">
      <w:start w:val="1"/>
      <w:numFmt w:val="decimal"/>
      <w:suff w:val="tab"/>
      <w:lvlText w:val="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</w:abstractNum>
  <w:abstractNum w:abstractNumId="9">
    <w:multiLevelType w:val="singleLevel"/>
    <w:name w:val="Bullet 5"/>
    <w:lvl w:ilvl="0">
      <w:start w:val="1"/>
      <w:numFmt w:val="decimal"/>
      <w:suff w:val="tab"/>
      <w:lvlText w:val="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</w:abstractNum>
  <w:abstractNum w:abstractNumId="10">
    <w:multiLevelType w:val="singleLevel"/>
    <w:name w:val="Bullet 6"/>
    <w:lvl w:ilvl="0">
      <w:start w:val="1"/>
      <w:numFmt w:val="decimal"/>
      <w:suff w:val="tab"/>
      <w:lvlText w:val="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</w:abstractNum>
  <w:abstractNum w:abstractNumId="11">
    <w:multiLevelType w:val="singleLevel"/>
    <w:name w:val="Bullet 7"/>
    <w:lvl w:ilvl="0">
      <w:numFmt w:val="bullet"/>
      <w:suff w:val="tab"/>
      <w:lvlText w:val=""/>
      <w:lvlJc w:val="left"/>
      <w:pPr>
        <w:ind w:left="0" w:hanging="0"/>
      </w:pPr>
      <w:rPr>
        <w:rPr>
          <w:rFonts w:ascii="Symbol" w:hAnsi="Symbol" w:cs="Symbol"/>
          <w:b/>
          <w:bCs/>
        </w:rPr>
      </w:rPr>
    </w:lvl>
  </w:abstractNum>
  <w:abstractNum w:abstractNumId="12">
    <w:multiLevelType w:val="singleLevel"/>
    <w:name w:val="Bullet 8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cs="Courier New"/>
        </w:rPr>
      </w:rPr>
    </w:lvl>
  </w:abstractNum>
  <w:abstractNum w:abstractNumId="13">
    <w:multiLevelType w:val="singleLevel"/>
    <w:name w:val="Bullet 9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4">
    <w:multiLevelType w:val="singleLevel"/>
    <w:name w:val="Bullet 10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cs="Symbol"/>
        </w:rPr>
      </w:rPr>
    </w:lvl>
  </w:abstractNum>
  <w:abstractNum w:abstractNumId="15">
    <w:multiLevelType w:val="singleLevel"/>
    <w:name w:val="Bullet 1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6">
    <w:multiLevelType w:val="singleLevel"/>
    <w:name w:val="Bullet 13"/>
    <w:lvl w:ilvl="0">
      <w:start w:val="1"/>
      <w:numFmt w:val="decimal"/>
      <w:suff w:val="tab"/>
      <w:lvlText w:val="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</w:abstractNum>
  <w:abstractNum w:abstractNumId="17">
    <w:multiLevelType w:val="singleLevel"/>
    <w:name w:val="Bullet 14"/>
    <w:lvl w:ilvl="0">
      <w:numFmt w:val="bullet"/>
      <w:suff w:val="tab"/>
      <w:lvlText w:val=""/>
      <w:lvlJc w:val="left"/>
      <w:pPr>
        <w:ind w:left="0" w:hanging="0"/>
      </w:pPr>
      <w:rPr>
        <w:rPr>
          <w:rFonts w:ascii="Symbol" w:hAnsi="Symbol" w:cs="Symbol"/>
          <w:b/>
          <w:bCs/>
        </w:rPr>
      </w:rPr>
    </w:lvl>
  </w:abstractNum>
  <w:abstractNum w:abstractNumId="18">
    <w:multiLevelType w:val="singleLevel"/>
    <w:name w:val="Bullet 15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cs="Courier New"/>
        </w:rPr>
      </w:rPr>
    </w:lvl>
  </w:abstractNum>
  <w:abstractNum w:abstractNumId="19">
    <w:multiLevelType w:val="singleLevel"/>
    <w:name w:val="Bullet 16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0">
    <w:multiLevelType w:val="singleLevel"/>
    <w:name w:val="Bullet 17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cs="Symbol"/>
        </w:rPr>
      </w:rPr>
    </w:lvl>
  </w:abstractNum>
  <w:abstractNum w:abstractNumId="21">
    <w:multiLevelType w:val="singleLevel"/>
    <w:name w:val="Bullet 19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2">
    <w:multiLevelType w:val="singleLevel"/>
    <w:name w:val="Bullet 20"/>
    <w:lvl w:ilvl="0">
      <w:start w:val="1"/>
      <w:numFmt w:val="decimal"/>
      <w:suff w:val="tab"/>
      <w:lvlText w:val="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</w:abstractNum>
  <w:abstractNum w:abstractNumId="23">
    <w:multiLevelType w:val="singleLevel"/>
    <w:name w:val="Bullet 21"/>
    <w:lvl w:ilvl="0">
      <w:numFmt w:val="bullet"/>
      <w:suff w:val="tab"/>
      <w:lvlText w:val=""/>
      <w:lvlJc w:val="left"/>
      <w:pPr>
        <w:ind w:left="0" w:hanging="0"/>
      </w:pPr>
      <w:rPr>
        <w:rPr>
          <w:rFonts w:ascii="Symbol" w:hAnsi="Symbol" w:cs="Symbol"/>
          <w:b/>
          <w:bCs/>
        </w:rPr>
      </w:rPr>
    </w:lvl>
  </w:abstractNum>
  <w:abstractNum w:abstractNumId="24">
    <w:multiLevelType w:val="singleLevel"/>
    <w:name w:val="Bullet 22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cs="Courier New"/>
        </w:rPr>
      </w:rPr>
    </w:lvl>
  </w:abstractNum>
  <w:abstractNum w:abstractNumId="25">
    <w:multiLevelType w:val="singleLevel"/>
    <w:name w:val="Bullet 23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6">
    <w:multiLevelType w:val="singleLevel"/>
    <w:name w:val="Bullet 24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cs="Symbol"/>
        </w:rPr>
      </w:rPr>
    </w:lvl>
  </w:abstractNum>
  <w:abstractNum w:abstractNumId="27">
    <w:multiLevelType w:val="singleLevel"/>
    <w:name w:val="Bullet 2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8">
    <w:multiLevelType w:val="singleLevel"/>
    <w:name w:val="Bullet 27"/>
    <w:lvl w:ilvl="0">
      <w:start w:val="1"/>
      <w:numFmt w:val="decimal"/>
      <w:suff w:val="tab"/>
      <w:lvlText w:val="%1"/>
      <w:lvlJc w:val="left"/>
      <w:pPr>
        <w:ind w:left="0" w:hanging="0"/>
      </w:pPr>
      <w:rPr>
        <w:rPr>
          <w:b w:val="0"/>
          <w:color w:val="000000"/>
          <w:kern w:val="1"/>
          <w:sz w:val="23"/>
        </w:rPr>
      </w:rPr>
    </w:lvl>
  </w:abstractNum>
  <w:abstractNum w:abstractNumId="29">
    <w:multiLevelType w:val="singleLevel"/>
    <w:name w:val="Bullet 28"/>
    <w:lvl w:ilvl="0">
      <w:numFmt w:val="bullet"/>
      <w:suff w:val="tab"/>
      <w:lvlText w:val=""/>
      <w:lvlJc w:val="left"/>
      <w:pPr>
        <w:ind w:left="0" w:hanging="0"/>
      </w:pPr>
      <w:rPr>
        <w:rPr>
          <w:rFonts w:ascii="Symbol" w:hAnsi="Symbol" w:cs="Symbol"/>
          <w:b/>
          <w:bCs/>
        </w:rPr>
      </w:rPr>
    </w:lvl>
  </w:abstractNum>
  <w:abstractNum w:abstractNumId="30">
    <w:multiLevelType w:val="singleLevel"/>
    <w:name w:val="Bullet 29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cs="Courier New"/>
        </w:rPr>
      </w:rPr>
    </w:lvl>
  </w:abstractNum>
  <w:abstractNum w:abstractNumId="31">
    <w:multiLevelType w:val="singleLevel"/>
    <w:name w:val="Bullet 30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2">
    <w:multiLevelType w:val="singleLevel"/>
    <w:name w:val="Bullet 31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cs="Symbol"/>
        </w:rPr>
      </w:rPr>
    </w:lvl>
  </w:abstractNum>
  <w:abstractNum w:abstractNumId="33">
    <w:multiLevelType w:val="singleLevel"/>
    <w:name w:val="Bullet 33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4">
    <w:multiLevelType w:val="singleLevel"/>
    <w:name w:val="Bullet 34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b w:val="0"/>
          <w:color w:val="000000"/>
          <w:kern w:val="1"/>
          <w:sz w:val="23"/>
        </w:rPr>
      </w:rPr>
    </w:lvl>
  </w:abstractNum>
  <w:abstractNum w:abstractNumId="35">
    <w:multiLevelType w:val="singleLevel"/>
    <w:name w:val="Bullet 35"/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Pr>
          <w:rFonts w:ascii="Symbol" w:hAnsi="Symbol" w:cs="Symbol"/>
          <w:b/>
          <w:bCs/>
        </w:rPr>
      </w:rPr>
    </w:lvl>
  </w:abstractNum>
  <w:abstractNum w:abstractNumId="36">
    <w:multiLevelType w:val="singleLevel"/>
    <w:name w:val="Bullet 36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37">
    <w:multiLevelType w:val="singleLevel"/>
    <w:name w:val="Bullet 37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8">
    <w:multiLevelType w:val="singleLevel"/>
    <w:name w:val="Bullet 38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 w:cs="Symbol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1"/>
  <w:doNotShadeFormData w:val="1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19335864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4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9392255" w:val="768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qFormat/>
    <w:basedOn w:val="1"/>
    <w:pPr>
      <w:outlineLvl w:val="1"/>
    </w:pPr>
    <w:rPr>
      <w:sz w:val="32"/>
      <w:szCs w:val="32"/>
    </w:rPr>
  </w:style>
  <w:style w:type="paragraph" w:styleId="3">
    <w:name w:val="heading 3"/>
    <w:qFormat/>
    <w:basedOn w:val="2"/>
    <w:pPr>
      <w:outlineLvl w:val="2"/>
    </w:pPr>
    <w:rPr>
      <w:sz w:val="28"/>
      <w:szCs w:val="28"/>
    </w:rPr>
  </w:style>
  <w:style w:type="paragraph" w:styleId="1" w:customStyle="1">
    <w:name w:val="Обычный1"/>
    <w:qFormat/>
    <w:rPr>
      <w:rFonts w:eastAsia="Calibri"/>
    </w:rPr>
  </w:style>
  <w:style w:type="paragraph" w:styleId="">
    <w:name w:val="List Paragraph"/>
    <w:qFormat/>
    <w:pPr>
      <w:ind w:left="720"/>
      <w:widowControl/>
    </w:pPr>
    <w:rPr>
      <w:rFonts w:eastAsia="Calibri"/>
      <w:sz w:val="28"/>
      <w:szCs w:val="28"/>
    </w:rPr>
  </w:style>
  <w:style w:type="character" w:styleId="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qFormat/>
    <w:basedOn w:val="1"/>
    <w:pPr>
      <w:outlineLvl w:val="1"/>
    </w:pPr>
    <w:rPr>
      <w:sz w:val="32"/>
      <w:szCs w:val="32"/>
    </w:rPr>
  </w:style>
  <w:style w:type="paragraph" w:styleId="3">
    <w:name w:val="heading 3"/>
    <w:qFormat/>
    <w:basedOn w:val="2"/>
    <w:pPr>
      <w:outlineLvl w:val="2"/>
    </w:pPr>
    <w:rPr>
      <w:sz w:val="28"/>
      <w:szCs w:val="28"/>
    </w:rPr>
  </w:style>
  <w:style w:type="paragraph" w:styleId="1" w:customStyle="1">
    <w:name w:val="Обычный1"/>
    <w:qFormat/>
    <w:rPr>
      <w:rFonts w:eastAsia="Calibri"/>
    </w:rPr>
  </w:style>
  <w:style w:type="paragraph" w:styleId="">
    <w:name w:val="List Paragraph"/>
    <w:qFormat/>
    <w:pPr>
      <w:ind w:left="720"/>
      <w:widowControl/>
    </w:pPr>
    <w:rPr>
      <w:rFonts w:eastAsia="Calibri"/>
      <w:sz w:val="28"/>
      <w:szCs w:val="28"/>
    </w:rPr>
  </w:style>
  <w:style w:type="character" w:styleId="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Иван </cp:lastModifiedBy>
  <cp:revision>5</cp:revision>
  <dcterms:created xsi:type="dcterms:W3CDTF">2021-10-21T10:24:27Z</dcterms:created>
  <dcterms:modified xsi:type="dcterms:W3CDTF">2021-12-13T13:44:15Z</dcterms:modified>
</cp:coreProperties>
</file>