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012453-22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p w:rsidR="007C3BF1" w:rsidRDefault="008C2287">
      <w:pPr>
        <w:ind w:left="1418"/>
      </w:pPr>
      <w:r>
        <w:t xml:space="preserve">Цена </w:t>
      </w:r>
      <w:r>
        <w:t>договора</w:t>
      </w:r>
      <w:r>
        <w:t xml:space="preserve">, руб.: </w:t>
      </w:r>
      <w:r>
        <w:t>226 257,60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02.25.03.08.11</w:t>
            </w:r>
            <w:r w:rsidR="008C2287">
              <w:rPr>
                <w:b/>
              </w:rPr>
              <w:t xml:space="preserve"> / </w:t>
            </w:r>
            <w:r w:rsidR="008C2287">
              <w:t>62.01.29.000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Месяц</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31.12.2022 (МСК)</w:t>
            </w:r>
          </w:p>
        </w:tc>
        <w:tc>
          <w:tcPr>
            <w:tcW w:w="622" w:type="pct"/>
            <w:shd w:val="clear" w:color="auto" w:fill="auto"/>
          </w:tcPr>
          <w:p w:rsidRPr="000B5400" w:rsidR="007C3BF1" w:rsidRDefault="007A2A88">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№01</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10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№01</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10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10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