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070923-21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запасного выхода социально-реабилитационного отделения и ремонт входных групп в столовую</w:t>
      </w:r>
    </w:p>
    <w:p w:rsidR="007C3BF1" w:rsidRDefault="008C2287">
      <w:pPr>
        <w:ind w:left="1418"/>
      </w:pPr>
      <w:r>
        <w:t xml:space="preserve">Цена </w:t>
      </w:r>
      <w:r>
        <w:t>договора</w:t>
      </w:r>
      <w:r>
        <w:t xml:space="preserve">, руб.: </w:t>
      </w:r>
      <w:r>
        <w:t>325 985,90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C3BF1" w:rsidRDefault="008C2287">
      <w:pPr>
        <w:ind w:left="1418"/>
      </w:pPr>
      <w:r>
        <w:t xml:space="preserve">ИНН: </w:t>
      </w:r>
      <w:r>
        <w:t>5034019231</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142621, Московская область, Орехово-Зуевский район, г. Куровское, ул. Коммунистическая, д. 48</w:t>
      </w:r>
    </w:p>
    <w:p w:rsidR="007C3BF1" w:rsidRDefault="008C2287">
      <w:pPr>
        <w:ind w:left="1418"/>
      </w:pPr>
      <w:r>
        <w:t>Адрес юридического лица:</w:t>
      </w:r>
      <w:r w:rsidRPr="005A4720">
        <w:t xml:space="preserve"> </w:t>
      </w:r>
      <w:r>
        <w:t>142621, Московская область, Орехово-Зуевский район, г. Куровское, ул. Коммунистическая, д. 48</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4E57CF">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03.02.08.06</w:t>
            </w:r>
            <w:r w:rsidR="008C2287">
              <w:rPr>
                <w:b/>
              </w:rPr>
              <w:t xml:space="preserve"> / </w:t>
            </w:r>
            <w:r w:rsidR="008C2287">
              <w:t>43.39.19.190</w:t>
            </w:r>
          </w:p>
          <w:p w:rsidR="007C3BF1" w:rsidRDefault="004E57CF">
            <w:pPr>
              <w:pStyle w:val="aff1"/>
            </w:pPr>
          </w:p>
        </w:tc>
        <w:tc>
          <w:tcPr>
            <w:tcW w:w="8223" w:type="dxa"/>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959" w:type="pct"/>
          </w:tcPr>
          <w:p w:rsidRPr="000B5400" w:rsidR="007C3BF1" w:rsidP="000B5400" w:rsidRDefault="004E57CF">
            <w:pPr>
              <w:pStyle w:val="aff1"/>
            </w:pPr>
            <w:r w:rsidRPr="000B5400" w:rsidR="008C2287">
              <w:t>ОКПД 2: 45.45.13.150, </w:t>
            </w:r>
            <w:r w:rsidRPr="000B5400" w:rsidR="008C2287">
              <w:t xml:space="preserve"> </w:t>
            </w:r>
            <w:r w:rsidR="008C2287">
              <w:t>наименование</w:t>
            </w:r>
            <w:r w:rsidRPr="000B5400" w:rsidR="008C2287">
              <w:t xml:space="preserve">:  </w:t>
            </w:r>
            <w:r w:rsidRPr="000B5400" w:rsidR="008C2287">
              <w:t>Выполнение работ по ремонту запасного выхода социально-реабилитационного отделения и ремонт входных групп в столовую</w:t>
            </w:r>
          </w:p>
        </w:tc>
        <w:tc>
          <w:tcPr>
            <w:tcW w:w="671" w:type="pct"/>
            <w:shd w:val="clear" w:color="auto" w:fill="auto"/>
          </w:tcPr>
          <w:p w:rsidRPr="000B5400" w:rsidR="007C3BF1" w:rsidRDefault="004E57CF">
            <w:pPr>
              <w:pStyle w:val="aff1"/>
              <w:rPr>
                <w:lang w:val="en-US"/>
              </w:rPr>
            </w:pPr>
            <w:r w:rsidRPr="000B5400" w:rsidR="008C2287">
              <w:rPr>
                <w:lang w:val="en-US"/>
              </w:rPr>
              <w:t>1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25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Подрядчик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за выполнение работ по ремонту запасного выхода социально-реабилитационного отделения и ремонт входных групп в столовую</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«Акт о приёмке выполненных работ (форма КС-2)» (Выполнение работ по ремонту запасного выхода социально-реабилитационного отделения и ремонт входных групп в столовую)</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Справка о стоимости выполненных работ и затрат (КС-3)</w:t>
            </w:r>
          </w:p>
        </w:tc>
        <w:tc>
          <w:tcPr>
            <w:tcW w:w="1821" w:type="pct"/>
            <w:vMerge w:val="restar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Акт о приёмке выполненных работ (форма КС-2)</w:t>
            </w:r>
          </w:p>
        </w:tc>
        <w:tc>
          <w:tcPr>
            <w:tcW w:w="1821" w:type="pct"/>
            <w:vMerge w:val="restar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за выполнение работ по ремонту запасного выхода социально-реабилитационного отделения и ремонт входных групп в столовую</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приёмке выполненных работ (форма КС-2)</w:t>
            </w:r>
          </w:p>
        </w:tc>
        <w:tc>
          <w:tcPr>
            <w:tcW w:w="1773" w:type="pct"/>
            <w:vMerge w:val="restar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Подрядчик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6" w:type="pct"/>
            <w:shd w:val="clear" w:color="auto" w:fill="auto"/>
          </w:tcPr>
          <w:p w:rsidR="007C3BF1" w:rsidRDefault="004E57CF">
            <w:pPr>
              <w:pStyle w:val="aff1"/>
            </w:pPr>
            <w:r w:rsidR="008C2287">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tc>
        <w:tc>
          <w:tcPr>
            <w:tcW w:w="1076"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Пеня устанавливается в размере одной трехсотой действующей на дату уплаты пеней ключевой ставки Центрального банка Российской Федерации от суммы договора.</w:t>
            </w:r>
          </w:p>
        </w:tc>
      </w:tr>
      <w:tr>
        <w:trPr>
          <w:cantSplit/>
        </w:trPr>
        <w:tc>
          <w:tcPr>
            <w:tcW w:w="919"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6" w:type="pct"/>
            <w:shd w:val="clear" w:color="auto" w:fill="auto"/>
          </w:tcPr>
          <w:p w:rsidR="007C3BF1" w:rsidRDefault="004E57CF">
            <w:pPr>
              <w:pStyle w:val="aff1"/>
            </w:pPr>
            <w:r w:rsidR="008C2287">
              <w:t>За нарушение сроков формирования платежных документов в ПИК ЕАСУЗ (акт, счет, и т.д.)</w:t>
            </w:r>
          </w:p>
        </w:tc>
        <w:tc>
          <w:tcPr>
            <w:tcW w:w="1076"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w:t>
            </w:r>
          </w:p>
        </w:tc>
        <w:tc>
          <w:tcPr>
            <w:tcW w:w="1076"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10</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(при наличии в Договоре таких обязательств),</w:t>
            </w:r>
          </w:p>
        </w:tc>
        <w:tc>
          <w:tcPr>
            <w:tcW w:w="1076" w:type="pct"/>
            <w:shd w:val="clear" w:color="auto" w:fill="auto"/>
          </w:tcPr>
          <w:p w:rsidR="007C3BF1" w:rsidRDefault="004E57CF">
            <w:pPr>
              <w:pStyle w:val="aff1"/>
            </w:pPr>
            <w:r w:rsidR="008C2287">
              <w:t>Выполнение работ по ремонту запасного выхода социально-реабилитационного отделения и ремонт входных групп в столовую</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