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030366-23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реагентов для гематологических анализаторов Sysmex XN-1000 и Sysmex XP-300</w:t>
      </w:r>
    </w:p>
    <w:p w:rsidR="007C3BF1" w:rsidRDefault="0068700B">
      <w:pPr>
        <w:ind w:left="1418"/>
      </w:pPr>
      <w:r w:rsidR="008C2287">
        <w:t xml:space="preserve">Цена </w:t>
      </w:r>
      <w:r w:rsidR="008C2287">
        <w:t>договора</w:t>
      </w:r>
      <w:r w:rsidR="008C2287">
        <w:t>, руб.:</w:t>
      </w:r>
      <w:r w:rsidR="001406FC">
        <w:t xml:space="preserve"> </w:t>
      </w:r>
      <w:r w:rsidR="008C2287">
        <w:t>2 614 195,31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07.08.2023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01.21.01.05.04.07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1,5-ангидроглюцитол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01.21.01.05.04.07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1,5-ангидроглюцитол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01.21.01.05.04.07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1,5-ангидроглюцитол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01.21.01.05.04.07</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1,5-ангидроглюцитол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01.21.01.06.16.46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Дилютер для разведения проб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01.21.01.06.16.46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Дилютер для разведения проб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14,00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01.21.01.06.16.46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Дилютер для разведения проб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01.14.03.02.02.2302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Набор реагентов для выявления ДНК возбудителя лептоспироза в биологическом материале методом полимеразной цепной реакции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01.14.03.02.02.2302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Набор реагентов для выявления ДНК возбудителя лептоспироза в биологическом материале методом полимеразной цепной реакции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01.14.03.02.02.2302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Набор реагентов для выявления ДНК возбудителя лептоспироза в биологическом материале методом полимеразной цепной реакции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01.14.03.02.02.2302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Набор реагентов для выявления ДНК возбудителя лептоспироза в биологическом материале методом полимеразной цепной реакции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01.21.10.1293</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Пост-ПЦР очищающий набор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01.21.01.05.05.202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Трехцветный синий/риан синий, краситель ИВД, набор</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01.21.01.05.05.202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Трехцветный синий/риан синий, краситель ИВД, набор</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01.21.01.05.05.202</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Трехцветный синий/риан синий, краситель ИВД, набор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Дилютер для разведения проб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Дилютер для разведения проб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Дилютер для разведения проб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реагентов для выявления ДНК возбудителя лептоспироза в биологическом материале методом полимеразной цепной реакции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реагентов для выявления ДНК возбудителя лептоспироза в биологическом материале методом полимеразной цепной реакции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реагентов для выявления ДНК возбудителя лептоспироза в биологическом материале методом полимеразной цепной реакции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реагентов для выявления ДНК возбудителя лептоспироза в биологическом материале методом полимеразной цепной реакции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Пост-ПЦР очищающий набор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Трехцветный синий/риан синий, краситель ИВД, набор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Трехцветный синий/риан синий, краситель ИВД, набор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Трехцветный синий/риан синий, краситель ИВД, набор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гематологических анализаторов Sysmex XN-1000 и Sysmex XP-300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гематологических анализаторов Sysmex XN-1000 и Sysmex XP-300)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гематологических анализаторов Sysmex XN-1000 и Sysmex XP-300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гематологических анализаторов Sysmex XN-1000 и Sysmex XP-300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гематологических анализаторов Sysmex XN-1000 и Sysmex XP-300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гематологических анализаторов Sysmex XN-1000 и Sysmex XP-300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гематологических анализаторов Sysmex XN-1000 и Sysmex XP-300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