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FF4" w:rsidRPr="00F33E5F" w:rsidRDefault="000B3FF4"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0B3FF4" w:rsidRPr="00F33E5F" w:rsidRDefault="000B3FF4"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0B3FF4" w:rsidRPr="00F33E5F" w:rsidRDefault="000B3FF4" w:rsidP="00B63CD9">
      <w:pPr>
        <w:ind w:left="6096"/>
        <w:outlineLvl w:val="0"/>
        <w:rPr>
          <w:sz w:val="22"/>
          <w:szCs w:val="22"/>
        </w:rPr>
      </w:pPr>
      <w:r w:rsidRPr="00F33E5F">
        <w:rPr>
          <w:sz w:val="22"/>
          <w:szCs w:val="22"/>
        </w:rPr>
        <w:t>от «</w:t>
      </w:r>
      <w:r>
        <w:rPr>
          <w:sz w:val="22"/>
          <w:szCs w:val="22"/>
        </w:rPr>
        <w:t>03</w:t>
      </w:r>
      <w:r w:rsidRPr="00F33E5F">
        <w:rPr>
          <w:sz w:val="22"/>
          <w:szCs w:val="22"/>
        </w:rPr>
        <w:t xml:space="preserve">» </w:t>
      </w:r>
      <w:r>
        <w:rPr>
          <w:sz w:val="22"/>
          <w:szCs w:val="22"/>
        </w:rPr>
        <w:t>декабря 2021</w:t>
      </w:r>
      <w:r w:rsidRPr="00F33E5F">
        <w:rPr>
          <w:sz w:val="22"/>
          <w:szCs w:val="22"/>
        </w:rPr>
        <w:t xml:space="preserve"> года</w:t>
      </w:r>
    </w:p>
    <w:p w:rsidR="000B3FF4" w:rsidRPr="00164434" w:rsidRDefault="000B3FF4" w:rsidP="00815E70">
      <w:pPr>
        <w:ind w:left="6096"/>
        <w:rPr>
          <w:sz w:val="22"/>
          <w:szCs w:val="22"/>
        </w:rPr>
      </w:pPr>
    </w:p>
    <w:p w:rsidR="000B3FF4" w:rsidRPr="00A824A1" w:rsidRDefault="000B3FF4" w:rsidP="003264F7">
      <w:pPr>
        <w:pStyle w:val="Title"/>
        <w:rPr>
          <w:sz w:val="22"/>
          <w:szCs w:val="22"/>
        </w:rPr>
      </w:pPr>
      <w:r w:rsidRPr="00A824A1">
        <w:rPr>
          <w:sz w:val="22"/>
          <w:szCs w:val="22"/>
        </w:rPr>
        <w:t>Техническое задание</w:t>
      </w:r>
    </w:p>
    <w:p w:rsidR="000B3FF4" w:rsidRPr="00036EE0" w:rsidRDefault="000B3FF4" w:rsidP="00036EE0">
      <w:pPr>
        <w:jc w:val="center"/>
        <w:rPr>
          <w:b/>
          <w:sz w:val="22"/>
        </w:rPr>
      </w:pPr>
      <w:r w:rsidRPr="00A824A1">
        <w:rPr>
          <w:b/>
          <w:sz w:val="22"/>
          <w:szCs w:val="22"/>
        </w:rPr>
        <w:t xml:space="preserve">на </w:t>
      </w:r>
      <w:r>
        <w:rPr>
          <w:b/>
          <w:sz w:val="22"/>
          <w:szCs w:val="22"/>
        </w:rPr>
        <w:t xml:space="preserve">поставку </w:t>
      </w:r>
      <w:r w:rsidRPr="0051077D">
        <w:rPr>
          <w:b/>
          <w:sz w:val="22"/>
        </w:rPr>
        <w:t>реагентов для иммуноферментных исследований</w:t>
      </w:r>
    </w:p>
    <w:p w:rsidR="000B3FF4" w:rsidRPr="00866E02" w:rsidRDefault="000B3FF4" w:rsidP="003264F7">
      <w:pPr>
        <w:jc w:val="center"/>
        <w:rPr>
          <w:b/>
          <w:sz w:val="22"/>
          <w:szCs w:val="22"/>
        </w:rPr>
      </w:pPr>
    </w:p>
    <w:p w:rsidR="000B3FF4" w:rsidRPr="00F33E5F" w:rsidRDefault="000B3FF4" w:rsidP="00036EE0">
      <w:pPr>
        <w:ind w:firstLine="708"/>
        <w:jc w:val="both"/>
        <w:rPr>
          <w:sz w:val="22"/>
          <w:szCs w:val="22"/>
        </w:rPr>
      </w:pPr>
      <w:r w:rsidRPr="00F33E5F">
        <w:rPr>
          <w:b/>
          <w:sz w:val="22"/>
          <w:szCs w:val="22"/>
        </w:rPr>
        <w:t>1. 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0B3FF4" w:rsidRPr="00F33E5F" w:rsidRDefault="000B3FF4" w:rsidP="00036EE0">
      <w:pPr>
        <w:pStyle w:val="BodyText"/>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0B3FF4" w:rsidRPr="00F33E5F" w:rsidRDefault="000B3FF4" w:rsidP="00036EE0">
      <w:pPr>
        <w:ind w:firstLine="720"/>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0B3FF4" w:rsidRPr="00F33E5F" w:rsidRDefault="000B3FF4" w:rsidP="00036EE0">
      <w:pPr>
        <w:tabs>
          <w:tab w:val="left" w:pos="360"/>
        </w:tabs>
        <w:jc w:val="both"/>
        <w:rPr>
          <w:sz w:val="22"/>
          <w:szCs w:val="22"/>
        </w:rPr>
      </w:pPr>
      <w:r w:rsidRPr="00F33E5F">
        <w:rPr>
          <w:sz w:val="22"/>
          <w:szCs w:val="22"/>
        </w:rPr>
        <w:tab/>
        <w:t xml:space="preserve">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w:t>
      </w:r>
      <w:r>
        <w:rPr>
          <w:sz w:val="22"/>
          <w:szCs w:val="22"/>
        </w:rPr>
        <w:t>после</w:t>
      </w:r>
      <w:r w:rsidRPr="00F33E5F">
        <w:rPr>
          <w:sz w:val="22"/>
          <w:szCs w:val="22"/>
        </w:rPr>
        <w:t xml:space="preserve">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0B3FF4" w:rsidRPr="00F33E5F" w:rsidRDefault="000B3FF4" w:rsidP="00036EE0">
      <w:pPr>
        <w:tabs>
          <w:tab w:val="left" w:pos="360"/>
        </w:tabs>
        <w:jc w:val="both"/>
        <w:rPr>
          <w:sz w:val="22"/>
          <w:szCs w:val="22"/>
        </w:rPr>
      </w:pPr>
      <w:r>
        <w:rPr>
          <w:b/>
          <w:sz w:val="22"/>
          <w:szCs w:val="22"/>
        </w:rPr>
        <w:tab/>
      </w: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0B3FF4" w:rsidRPr="00F33E5F" w:rsidRDefault="000B3FF4" w:rsidP="00036EE0">
      <w:pPr>
        <w:tabs>
          <w:tab w:val="left" w:pos="360"/>
        </w:tabs>
        <w:jc w:val="both"/>
        <w:rPr>
          <w:sz w:val="22"/>
          <w:szCs w:val="22"/>
        </w:rPr>
      </w:pPr>
      <w:r>
        <w:rPr>
          <w:b/>
          <w:sz w:val="22"/>
          <w:szCs w:val="22"/>
        </w:rPr>
        <w:tab/>
      </w: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0B3FF4" w:rsidRDefault="000B3FF4" w:rsidP="00036EE0">
      <w:pPr>
        <w:tabs>
          <w:tab w:val="left" w:pos="360"/>
        </w:tabs>
        <w:jc w:val="both"/>
        <w:rPr>
          <w:b/>
          <w:sz w:val="22"/>
          <w:szCs w:val="22"/>
        </w:rPr>
      </w:pPr>
      <w:r>
        <w:rPr>
          <w:b/>
          <w:bCs/>
          <w:sz w:val="22"/>
          <w:szCs w:val="22"/>
        </w:rPr>
        <w:tab/>
        <w:t>5</w:t>
      </w:r>
      <w:r w:rsidRPr="006473A0">
        <w:rPr>
          <w:b/>
          <w:sz w:val="22"/>
          <w:szCs w:val="22"/>
        </w:rPr>
        <w:t xml:space="preserve">. </w:t>
      </w:r>
      <w:r>
        <w:rPr>
          <w:b/>
          <w:sz w:val="22"/>
          <w:szCs w:val="22"/>
        </w:rPr>
        <w:t>Соответствие ГОСТ Р 51352-99</w:t>
      </w:r>
      <w:r w:rsidRPr="006473A0">
        <w:rPr>
          <w:b/>
          <w:sz w:val="22"/>
          <w:szCs w:val="22"/>
        </w:rPr>
        <w:t>.</w:t>
      </w:r>
    </w:p>
    <w:p w:rsidR="000B3FF4" w:rsidRPr="00036EE0" w:rsidRDefault="000B3FF4" w:rsidP="00036EE0">
      <w:pPr>
        <w:tabs>
          <w:tab w:val="left" w:pos="360"/>
        </w:tabs>
        <w:jc w:val="both"/>
        <w:rPr>
          <w:sz w:val="22"/>
          <w:szCs w:val="22"/>
        </w:rPr>
      </w:pPr>
      <w:r>
        <w:rPr>
          <w:b/>
          <w:sz w:val="22"/>
          <w:szCs w:val="22"/>
        </w:rPr>
        <w:tab/>
        <w:t xml:space="preserve">6. </w:t>
      </w:r>
      <w:r w:rsidRPr="00187524">
        <w:rPr>
          <w:b/>
          <w:sz w:val="22"/>
        </w:rPr>
        <w:t>Остаточный срок годности</w:t>
      </w:r>
      <w:r w:rsidRPr="00187524">
        <w:rPr>
          <w:sz w:val="22"/>
        </w:rPr>
        <w:t xml:space="preserve"> </w:t>
      </w:r>
      <w:r w:rsidRPr="00187524">
        <w:rPr>
          <w:b/>
          <w:sz w:val="22"/>
        </w:rPr>
        <w:t>поставляемой продукции на момент передачи Заказчику</w:t>
      </w:r>
      <w:r>
        <w:rPr>
          <w:b/>
          <w:sz w:val="22"/>
        </w:rPr>
        <w:t xml:space="preserve"> –</w:t>
      </w:r>
      <w:r w:rsidRPr="00187524">
        <w:rPr>
          <w:b/>
          <w:sz w:val="22"/>
        </w:rPr>
        <w:t xml:space="preserve"> </w:t>
      </w:r>
      <w:r w:rsidRPr="00036EE0">
        <w:rPr>
          <w:sz w:val="22"/>
        </w:rPr>
        <w:t>не менее 3 (трёх) месяцев срока годности, установленного производителем</w:t>
      </w:r>
      <w:r>
        <w:rPr>
          <w:sz w:val="22"/>
        </w:rPr>
        <w:t>.</w:t>
      </w:r>
    </w:p>
    <w:p w:rsidR="000B3FF4" w:rsidRDefault="000B3FF4" w:rsidP="00036EE0">
      <w:pPr>
        <w:tabs>
          <w:tab w:val="left" w:pos="360"/>
        </w:tabs>
        <w:jc w:val="both"/>
        <w:rPr>
          <w:b/>
          <w:sz w:val="22"/>
          <w:szCs w:val="22"/>
        </w:rPr>
      </w:pPr>
      <w:r>
        <w:rPr>
          <w:b/>
          <w:sz w:val="22"/>
          <w:szCs w:val="22"/>
        </w:rPr>
        <w:tab/>
        <w:t>7</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0B3FF4" w:rsidRPr="007108DB" w:rsidRDefault="000B3FF4" w:rsidP="003264F7">
      <w:pPr>
        <w:jc w:val="center"/>
        <w:rPr>
          <w:b/>
          <w:sz w:val="22"/>
          <w:szCs w:val="22"/>
        </w:rPr>
      </w:pPr>
    </w:p>
    <w:p w:rsidR="000B3FF4" w:rsidRDefault="000B3FF4" w:rsidP="00376924">
      <w:pPr>
        <w:jc w:val="center"/>
        <w:rPr>
          <w:b/>
          <w:bCs/>
        </w:rPr>
        <w:sectPr w:rsidR="000B3FF4" w:rsidSect="00D04DF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1"/>
          <w:cols w:space="708"/>
          <w:docGrid w:linePitch="272"/>
        </w:sectPr>
      </w:pPr>
    </w:p>
    <w:tbl>
      <w:tblPr>
        <w:tblW w:w="1101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160"/>
        <w:gridCol w:w="4897"/>
        <w:gridCol w:w="1887"/>
        <w:gridCol w:w="764"/>
        <w:gridCol w:w="769"/>
      </w:tblGrid>
      <w:tr w:rsidR="000B3FF4" w:rsidRPr="000766D1" w:rsidTr="00D04DF4">
        <w:trPr>
          <w:trHeight w:val="495"/>
          <w:jc w:val="center"/>
        </w:trPr>
        <w:tc>
          <w:tcPr>
            <w:tcW w:w="540" w:type="dxa"/>
            <w:noWrap/>
            <w:vAlign w:val="center"/>
          </w:tcPr>
          <w:p w:rsidR="000B3FF4" w:rsidRPr="000766D1" w:rsidRDefault="000B3FF4" w:rsidP="00376924">
            <w:pPr>
              <w:jc w:val="center"/>
              <w:rPr>
                <w:b/>
                <w:bCs/>
              </w:rPr>
            </w:pPr>
            <w:r w:rsidRPr="000766D1">
              <w:rPr>
                <w:b/>
                <w:bCs/>
              </w:rPr>
              <w:t>№ п/п</w:t>
            </w:r>
          </w:p>
        </w:tc>
        <w:tc>
          <w:tcPr>
            <w:tcW w:w="2160" w:type="dxa"/>
            <w:noWrap/>
            <w:vAlign w:val="center"/>
          </w:tcPr>
          <w:p w:rsidR="000B3FF4" w:rsidRPr="000766D1" w:rsidRDefault="000B3FF4" w:rsidP="000766D1">
            <w:pPr>
              <w:jc w:val="center"/>
              <w:rPr>
                <w:b/>
                <w:bCs/>
              </w:rPr>
            </w:pPr>
            <w:r w:rsidRPr="000766D1">
              <w:rPr>
                <w:b/>
                <w:bCs/>
              </w:rPr>
              <w:t>Наименование товара</w:t>
            </w:r>
          </w:p>
        </w:tc>
        <w:tc>
          <w:tcPr>
            <w:tcW w:w="4897" w:type="dxa"/>
            <w:noWrap/>
            <w:vAlign w:val="center"/>
          </w:tcPr>
          <w:p w:rsidR="000B3FF4" w:rsidRPr="000766D1" w:rsidRDefault="000B3FF4" w:rsidP="004D4891">
            <w:pPr>
              <w:jc w:val="center"/>
              <w:rPr>
                <w:b/>
              </w:rPr>
            </w:pPr>
            <w:r w:rsidRPr="000766D1">
              <w:rPr>
                <w:b/>
              </w:rPr>
              <w:t>Технические характеристики</w:t>
            </w:r>
          </w:p>
        </w:tc>
        <w:tc>
          <w:tcPr>
            <w:tcW w:w="1887" w:type="dxa"/>
          </w:tcPr>
          <w:p w:rsidR="000B3FF4" w:rsidRPr="000766D1" w:rsidRDefault="000B3FF4" w:rsidP="003611AC">
            <w:pPr>
              <w:jc w:val="center"/>
              <w:rPr>
                <w:b/>
              </w:rPr>
            </w:pPr>
            <w:r w:rsidRPr="000766D1">
              <w:rPr>
                <w:b/>
              </w:rPr>
              <w:t>Производитель, страна происхождения</w:t>
            </w:r>
          </w:p>
          <w:p w:rsidR="000B3FF4" w:rsidRPr="000766D1" w:rsidRDefault="000B3FF4" w:rsidP="003611AC">
            <w:pPr>
              <w:jc w:val="center"/>
              <w:rPr>
                <w:b/>
              </w:rPr>
            </w:pPr>
            <w:r w:rsidRPr="000766D1">
              <w:rPr>
                <w:b/>
              </w:rPr>
              <w:t>Данные документа, подтверждающего страну происхождения товара</w:t>
            </w:r>
          </w:p>
          <w:p w:rsidR="000B3FF4" w:rsidRPr="000766D1" w:rsidRDefault="000B3FF4" w:rsidP="003611AC">
            <w:pPr>
              <w:jc w:val="center"/>
              <w:rPr>
                <w:b/>
              </w:rPr>
            </w:pPr>
            <w:r w:rsidRPr="000766D1">
              <w:rPr>
                <w:b/>
              </w:rPr>
              <w:t>(при его наличии)</w:t>
            </w:r>
          </w:p>
        </w:tc>
        <w:tc>
          <w:tcPr>
            <w:tcW w:w="764" w:type="dxa"/>
            <w:vAlign w:val="center"/>
          </w:tcPr>
          <w:p w:rsidR="000B3FF4" w:rsidRPr="00157F3F" w:rsidRDefault="000B3FF4" w:rsidP="00157F3F">
            <w:pPr>
              <w:jc w:val="center"/>
              <w:rPr>
                <w:b/>
                <w:bCs/>
                <w:sz w:val="22"/>
                <w:szCs w:val="22"/>
              </w:rPr>
            </w:pPr>
            <w:r w:rsidRPr="00157F3F">
              <w:rPr>
                <w:b/>
                <w:bCs/>
                <w:sz w:val="22"/>
                <w:szCs w:val="22"/>
              </w:rPr>
              <w:t>Ед.</w:t>
            </w:r>
          </w:p>
        </w:tc>
        <w:tc>
          <w:tcPr>
            <w:tcW w:w="769" w:type="dxa"/>
            <w:vAlign w:val="center"/>
          </w:tcPr>
          <w:p w:rsidR="000B3FF4" w:rsidRPr="00157F3F" w:rsidRDefault="000B3FF4" w:rsidP="00157F3F">
            <w:pPr>
              <w:jc w:val="center"/>
              <w:rPr>
                <w:b/>
                <w:bCs/>
                <w:sz w:val="22"/>
                <w:szCs w:val="22"/>
              </w:rPr>
            </w:pPr>
            <w:r w:rsidRPr="00157F3F">
              <w:rPr>
                <w:b/>
                <w:bCs/>
                <w:sz w:val="22"/>
                <w:szCs w:val="22"/>
              </w:rPr>
              <w:t>Кол-во</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w:t>
            </w:r>
          </w:p>
        </w:tc>
        <w:tc>
          <w:tcPr>
            <w:tcW w:w="2160" w:type="dxa"/>
            <w:vAlign w:val="center"/>
          </w:tcPr>
          <w:p w:rsidR="000B3FF4" w:rsidRPr="00157F3F" w:rsidRDefault="000B3FF4" w:rsidP="00157F3F">
            <w:r w:rsidRPr="00157F3F">
              <w:t>Набор реагентов для иммуноферментного выявления HBsAg</w:t>
            </w:r>
          </w:p>
        </w:tc>
        <w:tc>
          <w:tcPr>
            <w:tcW w:w="4897" w:type="dxa"/>
            <w:noWrap/>
            <w:vAlign w:val="center"/>
          </w:tcPr>
          <w:p w:rsidR="000B3FF4" w:rsidRPr="00157F3F" w:rsidRDefault="000B3FF4" w:rsidP="00157F3F">
            <w:r w:rsidRPr="00157F3F">
              <w:t xml:space="preserve">Метод ИФА. Количество определений не менее 480 (60х8). Набор рассчитан на проведение анализа не менее 480 исследуемых образцов сыворотки (плазмы) крови включая контроли. Минимальная достоверно определяемая набором концентрация аналита не более 0,025 МЕ/мл. Минимальное суммарное время инкубации при процедуре проведения анализа, позволяющей выявлять HBsAg в концентрации не более 0,025 МЕ/мл не более 200 минут. Конъюгат - антитела к HBsAg, меченые пероксидазой.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Стабильность рабочего раствора ТМБ при температуре 25°С, не менее 6 ч. Стабильность рабочего раствора конъюгата в температурном диапазоне от 2°С до 8°С, не менее 1 месяца. Объем раствора для разведения конъюгата, не менее 36 мл. Промывка планшета только раствором, входящим в состав набора (без дополнительной промывки дистиллированной водой). Прогрев компонентов набора перед работой до комнатной температуры (диапазон от не более 18°С до не менее 25°С). Объем внесения стоп-реагента в одну лунку планшета, 100 мкл.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25</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w:t>
            </w:r>
          </w:p>
        </w:tc>
        <w:tc>
          <w:tcPr>
            <w:tcW w:w="2160" w:type="dxa"/>
            <w:vAlign w:val="center"/>
          </w:tcPr>
          <w:p w:rsidR="000B3FF4" w:rsidRPr="00157F3F" w:rsidRDefault="000B3FF4" w:rsidP="00157F3F">
            <w:r w:rsidRPr="00157F3F">
              <w:t xml:space="preserve">Набор реагентов для подтверждения наличия HBsAg в сыворотке (плазме) </w:t>
            </w:r>
          </w:p>
        </w:tc>
        <w:tc>
          <w:tcPr>
            <w:tcW w:w="4897" w:type="dxa"/>
            <w:noWrap/>
            <w:vAlign w:val="center"/>
          </w:tcPr>
          <w:p w:rsidR="000B3FF4" w:rsidRPr="00157F3F" w:rsidRDefault="000B3FF4" w:rsidP="00157F3F">
            <w:r w:rsidRPr="00157F3F">
              <w:t>Набор реагентов предназначен для подтверждения присутствия HBsAg в образцах положительных в скрининговых тестах. Количество определений не менее 25. Объем раствора подтверждающего агента не менее 0,7 мл. Объем раствора для разведения образцов, не менее 21 мл. Объем внесения раствора подтверждающего агента в одну лунку планшета не более 20 мкл. Прогрев компонентов набора перед работой до комнатной температуры (диапазон от не более 18°С до не менее 25°С).</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9</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3</w:t>
            </w:r>
          </w:p>
        </w:tc>
        <w:tc>
          <w:tcPr>
            <w:tcW w:w="2160" w:type="dxa"/>
            <w:vAlign w:val="center"/>
          </w:tcPr>
          <w:p w:rsidR="000B3FF4" w:rsidRPr="00157F3F" w:rsidRDefault="000B3FF4" w:rsidP="00157F3F">
            <w:r w:rsidRPr="00157F3F">
              <w:t xml:space="preserve">Набор реагентов для иммуноферментного выявления иммуноглобулинов классов G и M к вирусу гепатита С </w:t>
            </w:r>
          </w:p>
        </w:tc>
        <w:tc>
          <w:tcPr>
            <w:tcW w:w="4897" w:type="dxa"/>
            <w:noWrap/>
            <w:vAlign w:val="center"/>
          </w:tcPr>
          <w:p w:rsidR="000B3FF4" w:rsidRPr="00157F3F" w:rsidRDefault="000B3FF4" w:rsidP="00157F3F">
            <w:r w:rsidRPr="00157F3F">
              <w:t xml:space="preserve">Метод ИФА. Количество определений не менее 480 (60х8). Набор рассчитан на проведение анализа не менее 480 исследуемых образцов сыворотки (плазмы) крови включая контроли. Объем исследуемого образца на одну лунку планшета </w:t>
            </w:r>
            <w:r>
              <w:t xml:space="preserve">не более </w:t>
            </w:r>
            <w:r w:rsidRPr="00157F3F">
              <w:t>40 мкл. Объемное равенство контролей и образцов.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Объем концентрата конъюгата не менее 5 мл. Объем раствора для разведения конъюгата не менее 60 мл. Объем концентрата ТМБ не менее 4,5 мл. Объем субстратного буферного раствора не менее 60 мл. Стабильность рабочих растворов конъюгата и ТМБ при температуре 25°С, не менее 10 ч. Объем концентрата промывочного раствора, не менее 200 мл. Стабильность приготовленного промывочного раствора в температурном диапазоне от 2°С до 8°С, не менее 1 месяца. Одинаковое количество промывок после инкубаций. Объем внесения стоп-реагента в одну лунку планшета не более 100 мкл. Стабильность набора реагентов при транспортировке в температурном диапазоне от не более 9°С до не менее 25°С, не менее 10 сут. Срок годности набора не менее 18 мес.</w:t>
            </w:r>
          </w:p>
        </w:tc>
        <w:tc>
          <w:tcPr>
            <w:tcW w:w="1887" w:type="dxa"/>
          </w:tcPr>
          <w:p w:rsidR="000B3FF4" w:rsidRPr="000766D1" w:rsidRDefault="000B3FF4" w:rsidP="00376924">
            <w:pPr>
              <w:shd w:val="clear" w:color="auto" w:fill="FFFFFF"/>
              <w:tabs>
                <w:tab w:val="left" w:pos="679"/>
                <w:tab w:val="left" w:pos="1058"/>
              </w:tabs>
              <w:snapToGrid w:val="0"/>
              <w:ind w:right="87"/>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25</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4</w:t>
            </w:r>
          </w:p>
        </w:tc>
        <w:tc>
          <w:tcPr>
            <w:tcW w:w="2160" w:type="dxa"/>
            <w:vAlign w:val="center"/>
          </w:tcPr>
          <w:p w:rsidR="000B3FF4" w:rsidRPr="00157F3F" w:rsidRDefault="000B3FF4" w:rsidP="00157F3F">
            <w:r w:rsidRPr="00157F3F">
              <w:t xml:space="preserve">Набор реагентов для иммуноферментного подтверждения наличия антител к вирусу гепатита С </w:t>
            </w:r>
          </w:p>
        </w:tc>
        <w:tc>
          <w:tcPr>
            <w:tcW w:w="4897" w:type="dxa"/>
            <w:noWrap/>
            <w:vAlign w:val="center"/>
          </w:tcPr>
          <w:p w:rsidR="000B3FF4" w:rsidRPr="00157F3F" w:rsidRDefault="000B3FF4" w:rsidP="00157F3F">
            <w:r w:rsidRPr="00157F3F">
              <w:t>Метод ИФА. Количество определений не менее 48. Объем исследуемого образца на одну лунку планшета не более 40 мкл. Расположение антигенов core и NS на одном стрипе. Объемное равенство контролей и образцов.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Объем концентрата конъюгата не менее 0,5 мл. Объем раствора для разведения конъюгата не менее 13 мл. Объем концентрата ТМБ не менее 0,5 мл. Объем субстратного буферного раствора не менее 13 мл. Стабильность рабочих растворов конъюгата и ТМБ при температуре 25°С, не менее 10 ч. Объем концентрата промывочного раствора, не менее 28 мл. Стабильность приготовленного промывочного раствора в температурном диапазоне от 2°С до 8°С, не менее 1 месяца. Одинаковое количество промывок после инкубаций. Объем внесения стоп-реагента в одну лунку планшета не более 100 мкл. Стабильность набора реагентов при транспортировке в температурном диапазоне от не более 9°С до не менее 25°С, не менее 10 сут. Срок годности набора не менее 18 мес.</w:t>
            </w:r>
          </w:p>
        </w:tc>
        <w:tc>
          <w:tcPr>
            <w:tcW w:w="1887" w:type="dxa"/>
          </w:tcPr>
          <w:p w:rsidR="000B3FF4" w:rsidRPr="000766D1" w:rsidRDefault="000B3FF4" w:rsidP="00376924">
            <w:pPr>
              <w:pStyle w:val="BodyText"/>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9</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5</w:t>
            </w:r>
          </w:p>
        </w:tc>
        <w:tc>
          <w:tcPr>
            <w:tcW w:w="2160" w:type="dxa"/>
            <w:vAlign w:val="center"/>
          </w:tcPr>
          <w:p w:rsidR="000B3FF4" w:rsidRPr="00157F3F" w:rsidRDefault="000B3FF4" w:rsidP="00157F3F">
            <w:r w:rsidRPr="00157F3F">
              <w:t>Набор реагентов для иммуноферментного определения концентрации общего иммуноглобулина класса Е в сыворотке крови.</w:t>
            </w:r>
          </w:p>
        </w:tc>
        <w:tc>
          <w:tcPr>
            <w:tcW w:w="4897" w:type="dxa"/>
            <w:noWrap/>
            <w:vAlign w:val="center"/>
          </w:tcPr>
          <w:p w:rsidR="000B3FF4" w:rsidRPr="00157F3F" w:rsidRDefault="000B3FF4" w:rsidP="00157F3F">
            <w:r w:rsidRPr="00157F3F">
              <w:t xml:space="preserve">Метод ИФА. Количество определений не менее 96. Одинаковое количество промывок после инкубаций. Суммарное время инкубации не более 55 мин. Объем исследуемого образца не более 15 мкл. Минимальная достоверно определяемая набором концентрация аналита не более 2,5 МЕ/мл.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2 суток. Готовые однокомпонентные растворы конъюгата и ТМБ, не требующие разведения. Объем раствора конъюгата не менее 13 мл. Объем раствора ТМБ не менее 13 мл. Объем внесения стоп-реагента в одну лунку планшета, 100 мкл. Прогрев компонентов набора перед работой при температуре в диапазоне от не более 18°С до не менее 25°С.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6</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цитомегаловирусу</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Объем положительного контрольного образца не менее 1,5 мл. Объем отрицательного контрольного образца не менее 2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7</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цитомегаловирусу</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Объем положительного контрольного образца не менее 1,5 мл. Объем отрицательного контрольного образца не менее 2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shd w:val="clear" w:color="auto" w:fill="FFFFFF"/>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8</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вирусу простого герпеса 1 и 2 типов</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Объем положительного контрольного образца не менее 1,5 мл. Объем отрицательного контрольного образца не менее 2 мл.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9</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вирусу простого герпеса 1 и 2 типов</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Объем положительного контрольного образца не менее 1,5 мл. Объем отрицательного контрольного образца не менее 2 мл.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pStyle w:val="BodyText"/>
              <w:tabs>
                <w:tab w:val="left" w:pos="679"/>
              </w:tabs>
              <w:snapToGrid w:val="0"/>
              <w:ind w:right="87"/>
              <w:jc w:val="both"/>
              <w:rPr>
                <w:color w:val="000000"/>
              </w:rPr>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10</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А к антигенам Ureaplasma urealyticum</w:t>
            </w:r>
          </w:p>
        </w:tc>
        <w:tc>
          <w:tcPr>
            <w:tcW w:w="4897" w:type="dxa"/>
            <w:noWrap/>
            <w:vAlign w:val="center"/>
          </w:tcPr>
          <w:p w:rsidR="000B3FF4" w:rsidRPr="00157F3F" w:rsidRDefault="000B3FF4" w:rsidP="00157F3F">
            <w:r w:rsidRPr="00157F3F">
              <w:t>Метод ИФА. Количество определений не менее 96 (12х8). Одинаковое количество промывок после инкубаций. Готовый однокомпонентный раствор ТМБ, не требующий разведения. Прогрев компонентов набора перед работой до комнатной температуры (диапазон от не более 18°С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Инкубация с ТМБ при комнатной температуре (диапазон от не более 20°С до не менее 25°С), без использования термостата. Срок годности набора не менее 12 мес. Наборы реагентов для выявления иммуноглобулинов класса А и G к антигенам Ureaplasma urealyticum должны иметь одинаковую схему (порядок, процедуру) проведения ИФА.</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11</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антигенам Ureaplasma urealyticum</w:t>
            </w:r>
          </w:p>
        </w:tc>
        <w:tc>
          <w:tcPr>
            <w:tcW w:w="4897" w:type="dxa"/>
            <w:noWrap/>
            <w:vAlign w:val="center"/>
          </w:tcPr>
          <w:p w:rsidR="000B3FF4" w:rsidRPr="00157F3F" w:rsidRDefault="000B3FF4" w:rsidP="00157F3F">
            <w:r w:rsidRPr="00157F3F">
              <w:t>Метод ИФА. Количество определений не менее 96 (12х8). Одинаковое количество промывок после инкубаций. Готовый однокомпонентный раствор ТМБ, не требующий разведения. Наличие в инструкции схемы определения титра антител по оптической плотности образца. Прогрев компонентов набора перед работой до комнатной температуры (диапазон от не более 18°С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Инкубация с ТМБ при комнатной температуре (диапазон от не более 20°С до не менее 25°С), без использования термостата. Срок годности набора не менее 12 мес. Наборы реагентов для выявления иммуноглобулинов класса А и G к антигенам Ureaplasma urealyticum должны иметь одинаковую схему (порядок, процедуру) проведения ИФА.</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12</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Mycoplasma hominis</w:t>
            </w:r>
          </w:p>
        </w:tc>
        <w:tc>
          <w:tcPr>
            <w:tcW w:w="4897" w:type="dxa"/>
            <w:noWrap/>
            <w:vAlign w:val="center"/>
          </w:tcPr>
          <w:p w:rsidR="000B3FF4" w:rsidRPr="00157F3F" w:rsidRDefault="000B3FF4" w:rsidP="00157F3F">
            <w:r w:rsidRPr="00157F3F">
              <w:t>Метод ИФА. Количество определений не менее 96 (12х8). Готовый однокомпонентный раствор ТМБ, не требующий разведения. Наличие в инструкции схемы определения титра антител по оптической плотности образца.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Срок годности набора не менее 12 мес. Наборы реагентов для выявления иммуноглобулинов класса А и G к антигенам Mycoplasma hominis должны иметь одинаковую схему (порядок, процедуру) проведения ИФА и общие неспецифические реагенты: промывочный раствор, ТМБ,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13</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A к Mycoplasma hominis</w:t>
            </w:r>
          </w:p>
        </w:tc>
        <w:tc>
          <w:tcPr>
            <w:tcW w:w="4897" w:type="dxa"/>
            <w:noWrap/>
            <w:vAlign w:val="center"/>
          </w:tcPr>
          <w:p w:rsidR="000B3FF4" w:rsidRPr="00157F3F" w:rsidRDefault="000B3FF4" w:rsidP="00157F3F">
            <w:r w:rsidRPr="00157F3F">
              <w:t>Метод ИФА. Количество определений не менее 96 (12х8). Готовый однокомпонентный раствор ТМБ, не требующий разведения.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Срок годности набора не менее 12 мес. Наборы реагентов для выявления иммуноглобулинов класса А и G к антигенам Mycoplasma hominis должны иметь одинаковую схему (порядок, процедуру) проведения ИФА и общие неспецифические реагенты: промывочный раствор, ТМБ, стоп-реагент.</w:t>
            </w:r>
          </w:p>
        </w:tc>
        <w:tc>
          <w:tcPr>
            <w:tcW w:w="1887" w:type="dxa"/>
          </w:tcPr>
          <w:p w:rsidR="000B3FF4" w:rsidRPr="000766D1" w:rsidRDefault="000B3FF4" w:rsidP="00376924">
            <w:pPr>
              <w:snapToGrid w:val="0"/>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14</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Chlamydia trachomatis</w:t>
            </w:r>
          </w:p>
        </w:tc>
        <w:tc>
          <w:tcPr>
            <w:tcW w:w="4897" w:type="dxa"/>
            <w:noWrap/>
            <w:vAlign w:val="center"/>
          </w:tcPr>
          <w:p w:rsidR="000B3FF4" w:rsidRPr="00157F3F" w:rsidRDefault="000B3FF4" w:rsidP="00157F3F">
            <w:r w:rsidRPr="00157F3F">
              <w:t>Метод ИФА. Количество определений не менее 96 (12х8). Готовый однокомпонентный раствор ТМБ, не требующий разведения. Объем конъюгата не менее 1,5 мл. Объем ТМБ не менее 12 мл. Объем концентрата промывочного раствора, не менее 28 мл.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15</w:t>
            </w:r>
          </w:p>
        </w:tc>
        <w:tc>
          <w:tcPr>
            <w:tcW w:w="2160" w:type="dxa"/>
            <w:vAlign w:val="center"/>
          </w:tcPr>
          <w:p w:rsidR="000B3FF4" w:rsidRPr="00157F3F" w:rsidRDefault="000B3FF4" w:rsidP="00157F3F">
            <w:r w:rsidRPr="00157F3F">
              <w:t xml:space="preserve">Набор реагентов для иммуноферментного выявления антител класса G к Treponema pallidum </w:t>
            </w:r>
          </w:p>
        </w:tc>
        <w:tc>
          <w:tcPr>
            <w:tcW w:w="4897" w:type="dxa"/>
            <w:noWrap/>
            <w:vAlign w:val="center"/>
          </w:tcPr>
          <w:p w:rsidR="000B3FF4" w:rsidRPr="00157F3F" w:rsidRDefault="000B3FF4" w:rsidP="00157F3F">
            <w:r w:rsidRPr="00157F3F">
              <w:t>Метод ИФА. Количество определений 96 (12х8). Без предварительной промывки планшета, одинаковое количество промывок после инкубаций. Набор рассчитан на проведение анализа 96 исследуемых образцов сыворотки (плазмы) крови включая контроли. Объемное равенство контролей и образцов. Объем концентрата промывочного раствора не менее 28 мл. Суммарное время инкубации не более 1ч 45 мин. Инкубация с ТМБ при комнатной температуре (диапазон от не более 20°С до не менее 25°С), без использования термостата. Объем внесения стоп-реагента в одну лунку планшета 100 мкл. Прогрев компонентов набора перед работой до комнатной температуры (диапазон от не более 20°С до не менее 25°С).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Максимально допустимое значение оптической плотности для отрицательного контрольного образца не более 0,2</w:t>
            </w:r>
          </w:p>
        </w:tc>
        <w:tc>
          <w:tcPr>
            <w:tcW w:w="1887" w:type="dxa"/>
          </w:tcPr>
          <w:p w:rsidR="000B3FF4" w:rsidRPr="000766D1" w:rsidRDefault="000B3FF4" w:rsidP="00376924">
            <w:pPr>
              <w:ind w:firstLine="7"/>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6</w:t>
            </w:r>
          </w:p>
        </w:tc>
      </w:tr>
      <w:tr w:rsidR="000B3FF4" w:rsidRPr="000766D1" w:rsidTr="00D04DF4">
        <w:trPr>
          <w:trHeight w:val="435"/>
          <w:jc w:val="center"/>
        </w:trPr>
        <w:tc>
          <w:tcPr>
            <w:tcW w:w="540" w:type="dxa"/>
            <w:noWrap/>
            <w:vAlign w:val="center"/>
          </w:tcPr>
          <w:p w:rsidR="000B3FF4" w:rsidRPr="000766D1" w:rsidRDefault="000B3FF4" w:rsidP="003611AC">
            <w:pPr>
              <w:jc w:val="center"/>
            </w:pPr>
            <w:r w:rsidRPr="000766D1">
              <w:t>16</w:t>
            </w:r>
          </w:p>
        </w:tc>
        <w:tc>
          <w:tcPr>
            <w:tcW w:w="2160" w:type="dxa"/>
            <w:vAlign w:val="center"/>
          </w:tcPr>
          <w:p w:rsidR="000B3FF4" w:rsidRPr="00157F3F" w:rsidRDefault="000B3FF4" w:rsidP="00157F3F">
            <w:r w:rsidRPr="00157F3F">
              <w:t xml:space="preserve">Набор реагентов для иммуноферментного выявления антител класса IgM к Treponema pallidum </w:t>
            </w:r>
          </w:p>
        </w:tc>
        <w:tc>
          <w:tcPr>
            <w:tcW w:w="4897" w:type="dxa"/>
            <w:noWrap/>
            <w:vAlign w:val="center"/>
          </w:tcPr>
          <w:p w:rsidR="000B3FF4" w:rsidRPr="00157F3F" w:rsidRDefault="000B3FF4" w:rsidP="00157F3F">
            <w:r w:rsidRPr="00157F3F">
              <w:t>Метод ИФА. Количество определений не менее 96. Без предварительной промывки планшета, одинаковое количество промывок после инкубаций. Набор рассчитан на проведение анализа не менее 92 исследуемых образцов. Специфичность и чувствительность не менее 100%. Объем исследуемого образца не более 10 мкл. Объемное равенство контролей и образцов. Одинаковое количество промывок после инкубации с образцами и конъюгатом.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Объём готового промывочного раствора после приготовления из концентрата не менее 0,7 л. Объем раствора для разведения сывороток не менее 26 мл. Суммарное время инкубации не более 1ч. 45 мин. Инкубация с ТМБ при комнатной температуре (диапазон от не более 18°С до не менее 25°С), без использования термостата. Объем внесения стоп-реагента в одну лунку планшета, 100 мкл.</w:t>
            </w:r>
          </w:p>
        </w:tc>
        <w:tc>
          <w:tcPr>
            <w:tcW w:w="1887" w:type="dxa"/>
          </w:tcPr>
          <w:p w:rsidR="000B3FF4" w:rsidRPr="000766D1" w:rsidRDefault="000B3FF4" w:rsidP="00376924">
            <w:pPr>
              <w:snapToGrid w:val="0"/>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6</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17</w:t>
            </w:r>
          </w:p>
        </w:tc>
        <w:tc>
          <w:tcPr>
            <w:tcW w:w="2160" w:type="dxa"/>
            <w:vAlign w:val="center"/>
          </w:tcPr>
          <w:p w:rsidR="000B3FF4" w:rsidRPr="00157F3F" w:rsidRDefault="000B3FF4" w:rsidP="00157F3F">
            <w:r w:rsidRPr="00157F3F">
              <w:t xml:space="preserve">Набор реагентов для иммуноферментного выявления суммарных антител к Treponema pallidum </w:t>
            </w:r>
          </w:p>
        </w:tc>
        <w:tc>
          <w:tcPr>
            <w:tcW w:w="4897" w:type="dxa"/>
            <w:noWrap/>
            <w:vAlign w:val="center"/>
          </w:tcPr>
          <w:p w:rsidR="000B3FF4" w:rsidRPr="00157F3F" w:rsidRDefault="000B3FF4" w:rsidP="00157F3F">
            <w:r w:rsidRPr="00157F3F">
              <w:t xml:space="preserve">Метод ИФА. Количество определений не менее 480 (60х8). Набор рассчитан на проведение анализа не менее 480 исследуемых образцов сыворотки (плазмы) крови включая контроли. Конъюгат - рекомбинантные антигены Treponema pallidum, меченные пероксидазой. Объем положительного контрольного образца не менее 1 мл. Объем отрицательного контрольного образца не менее 1 мл. Объем концентрата конъюгата не менее 1,5 мл. Объем раствора для разведения конъюгата не менее 70 мл. Объем концентрата ТМБ не менее 1,5 мл. Объем субстратного буферного раствора не менее 60 мл. Стабильность рабочего раствора конъюгата, не менее 10 часов. Объем концентрата промывочного раствора не менее 100 мл. Стабильность приготовленного промывочного раствора в температурном диапазоне от 2°С до 8°С, не менее 14 суток. Объем исследуемого образца не более 50 мкл. Спектрофотометрический контроль внесения исследуемых образцов. Суммарное время инкубации не более 2 часов.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3 суток. Инкубация с ТМБ при комнатной температуре, без использования термостата. Объем внесения стоп-реагента в одну лунку планшета 100 мкл. Максимально допустимое значение оптической плотности для отрицательного контрольного образца не более 0,2. Минимально допустимое значение оптической плотности для положительного контрольного образца не менее 0,6.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32</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18</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вирусу гепатита А</w:t>
            </w:r>
          </w:p>
        </w:tc>
        <w:tc>
          <w:tcPr>
            <w:tcW w:w="4897" w:type="dxa"/>
            <w:noWrap/>
            <w:vAlign w:val="center"/>
          </w:tcPr>
          <w:p w:rsidR="000B3FF4" w:rsidRPr="00157F3F" w:rsidRDefault="000B3FF4" w:rsidP="00157F3F">
            <w:r w:rsidRPr="00157F3F">
              <w:t>Метод ИФА. Количество определений не менее 96 (12х8). Минимальное суммарное время инкубации не более 2 часа 30 мин. Одинаковое количество промывок после инкубаций. Возможность проведения этапов инкубации без использования термошейкера. Прогрев компонентов набора перед работой до комнатной температуры (диапазон от не более 20°С до не менее 25°С). Объем концентрата промывочного раствора не менее 56 мл. Объем внесения стоп-реагента в одну лунку планшета, 100 мкл.</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3</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19</w:t>
            </w:r>
          </w:p>
        </w:tc>
        <w:tc>
          <w:tcPr>
            <w:tcW w:w="2160" w:type="dxa"/>
            <w:vAlign w:val="center"/>
          </w:tcPr>
          <w:p w:rsidR="000B3FF4" w:rsidRPr="00157F3F" w:rsidRDefault="000B3FF4" w:rsidP="00157F3F">
            <w:r w:rsidRPr="00157F3F">
              <w:t>Набор реагентов для иммуноферментного определения иммуноглобулинов класса G к вирусу гепатита A</w:t>
            </w:r>
          </w:p>
        </w:tc>
        <w:tc>
          <w:tcPr>
            <w:tcW w:w="4897" w:type="dxa"/>
            <w:noWrap/>
            <w:vAlign w:val="center"/>
          </w:tcPr>
          <w:p w:rsidR="000B3FF4" w:rsidRPr="00157F3F" w:rsidRDefault="000B3FF4" w:rsidP="00157F3F">
            <w:r w:rsidRPr="00157F3F">
              <w:t xml:space="preserve">Метод ИФА. Количество определений не менее 96 (12х8). Объём исследуемого образца не более 10 мкл. Суммарное время инкубации не более 1 ч. 25 мин. </w:t>
            </w:r>
          </w:p>
        </w:tc>
        <w:tc>
          <w:tcPr>
            <w:tcW w:w="1887" w:type="dxa"/>
          </w:tcPr>
          <w:p w:rsidR="000B3FF4" w:rsidRPr="000766D1" w:rsidRDefault="000B3FF4" w:rsidP="00376924">
            <w:pPr>
              <w:snapToGrid w:val="0"/>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3</w:t>
            </w:r>
          </w:p>
        </w:tc>
      </w:tr>
      <w:tr w:rsidR="000B3FF4" w:rsidRPr="000766D1" w:rsidTr="00D04DF4">
        <w:trPr>
          <w:trHeight w:val="645"/>
          <w:jc w:val="center"/>
        </w:trPr>
        <w:tc>
          <w:tcPr>
            <w:tcW w:w="540" w:type="dxa"/>
            <w:noWrap/>
            <w:vAlign w:val="center"/>
          </w:tcPr>
          <w:p w:rsidR="000B3FF4" w:rsidRPr="000766D1" w:rsidRDefault="000B3FF4" w:rsidP="003611AC">
            <w:pPr>
              <w:jc w:val="center"/>
            </w:pPr>
            <w:r w:rsidRPr="000766D1">
              <w:t>20</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вирусу гепатита Е</w:t>
            </w:r>
          </w:p>
        </w:tc>
        <w:tc>
          <w:tcPr>
            <w:tcW w:w="4897" w:type="dxa"/>
            <w:noWrap/>
            <w:vAlign w:val="center"/>
          </w:tcPr>
          <w:p w:rsidR="000B3FF4" w:rsidRPr="00157F3F" w:rsidRDefault="000B3FF4" w:rsidP="00157F3F">
            <w:r w:rsidRPr="00157F3F">
              <w:t xml:space="preserve">Метод ИФА. Количество определений не менее 96 (12х8). Без предварительной промывки планшета. Готовый однокомпонентный раствор ТМБ, не требующий разведения.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w:t>
            </w:r>
          </w:p>
        </w:tc>
        <w:tc>
          <w:tcPr>
            <w:tcW w:w="1887" w:type="dxa"/>
          </w:tcPr>
          <w:p w:rsidR="000B3FF4" w:rsidRPr="000766D1" w:rsidRDefault="000B3FF4" w:rsidP="00376924">
            <w:pPr>
              <w:rPr>
                <w:color w:val="000000"/>
              </w:rPr>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3</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21</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вирусу гепатита Е</w:t>
            </w:r>
          </w:p>
        </w:tc>
        <w:tc>
          <w:tcPr>
            <w:tcW w:w="4897" w:type="dxa"/>
            <w:noWrap/>
            <w:vAlign w:val="center"/>
          </w:tcPr>
          <w:p w:rsidR="000B3FF4" w:rsidRPr="00157F3F" w:rsidRDefault="000B3FF4" w:rsidP="00157F3F">
            <w:r w:rsidRPr="00157F3F">
              <w:t xml:space="preserve">Метод ИФА. Количество определений не менее 96 (12х8). Без предварительной промывки планшета. Готовый однокомпонентный раствор ТМБ, не требующий разведения.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3</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22</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антигенам описторхисов, трихинелл, токсокар и эхинококков в сыворотке (плазме) крови.</w:t>
            </w:r>
          </w:p>
        </w:tc>
        <w:tc>
          <w:tcPr>
            <w:tcW w:w="4897" w:type="dxa"/>
            <w:noWrap/>
            <w:vAlign w:val="center"/>
          </w:tcPr>
          <w:p w:rsidR="000B3FF4" w:rsidRPr="00157F3F" w:rsidRDefault="000B3FF4" w:rsidP="00157F3F">
            <w:r w:rsidRPr="00157F3F">
              <w:t xml:space="preserve">Метод ИФА. Количество определений не менее 192 (24х8). Объем исследуемого образца не более 10 мкл. Суммарное время инкубации не более 1 час 25 мин. Срок годности набора не менее 9 мес.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24</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23</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А, М, G к антигенам лямблий</w:t>
            </w:r>
          </w:p>
        </w:tc>
        <w:tc>
          <w:tcPr>
            <w:tcW w:w="4897" w:type="dxa"/>
            <w:noWrap/>
            <w:vAlign w:val="center"/>
          </w:tcPr>
          <w:p w:rsidR="000B3FF4" w:rsidRPr="00157F3F" w:rsidRDefault="000B3FF4" w:rsidP="00157F3F">
            <w:r w:rsidRPr="00157F3F">
              <w:t xml:space="preserve">Метод ИФА. Количество определений не менее 96 (12х8). Без предварительной промывки планшета.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9</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24</w:t>
            </w:r>
          </w:p>
        </w:tc>
        <w:tc>
          <w:tcPr>
            <w:tcW w:w="2160" w:type="dxa"/>
            <w:vAlign w:val="center"/>
          </w:tcPr>
          <w:p w:rsidR="000B3FF4" w:rsidRPr="00157F3F" w:rsidRDefault="000B3FF4" w:rsidP="00157F3F">
            <w:r w:rsidRPr="00157F3F">
              <w:t>Набор реагентов для иммуноферментного выявления суммарных антител к антигену CagA Helicobacter pylori</w:t>
            </w:r>
          </w:p>
        </w:tc>
        <w:tc>
          <w:tcPr>
            <w:tcW w:w="4897" w:type="dxa"/>
            <w:noWrap/>
            <w:vAlign w:val="center"/>
          </w:tcPr>
          <w:p w:rsidR="000B3FF4" w:rsidRPr="00157F3F" w:rsidRDefault="000B3FF4" w:rsidP="00157F3F">
            <w:r w:rsidRPr="00157F3F">
              <w:t xml:space="preserve">Метод ИФА. Количество определений не менее 96 (12х8).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15</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25</w:t>
            </w:r>
          </w:p>
        </w:tc>
        <w:tc>
          <w:tcPr>
            <w:tcW w:w="2160" w:type="dxa"/>
            <w:vAlign w:val="center"/>
          </w:tcPr>
          <w:p w:rsidR="000B3FF4" w:rsidRPr="00157F3F" w:rsidRDefault="000B3FF4" w:rsidP="00157F3F">
            <w:r w:rsidRPr="00157F3F">
              <w:t>Набор реагентов для выявления антител к Treponema pallidum в реакции гемагглютинации.</w:t>
            </w:r>
          </w:p>
        </w:tc>
        <w:tc>
          <w:tcPr>
            <w:tcW w:w="4897" w:type="dxa"/>
            <w:noWrap/>
            <w:vAlign w:val="center"/>
          </w:tcPr>
          <w:p w:rsidR="000B3FF4" w:rsidRPr="00157F3F" w:rsidRDefault="000B3FF4" w:rsidP="00157F3F">
            <w:r w:rsidRPr="00157F3F">
              <w:t>Возможность определения титра антител. Проведение реакции в планшетах для с U-образными лунками. Минимальное суммарное время инкубации не более 45 мин. Количество определений не менее 100. Исследование проводится при комнатной температуре (диапазон от не более 18°С до не менее 25°С). Срок годности набора не менее 12 мес.</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22</w:t>
            </w:r>
          </w:p>
        </w:tc>
      </w:tr>
      <w:tr w:rsidR="000B3FF4" w:rsidRPr="000766D1" w:rsidTr="00D04DF4">
        <w:trPr>
          <w:trHeight w:val="225"/>
          <w:jc w:val="center"/>
        </w:trPr>
        <w:tc>
          <w:tcPr>
            <w:tcW w:w="540" w:type="dxa"/>
            <w:noWrap/>
            <w:vAlign w:val="center"/>
          </w:tcPr>
          <w:p w:rsidR="000B3FF4" w:rsidRPr="000766D1" w:rsidRDefault="000B3FF4" w:rsidP="003611AC">
            <w:pPr>
              <w:jc w:val="center"/>
            </w:pPr>
            <w:r w:rsidRPr="000766D1">
              <w:t>26</w:t>
            </w:r>
          </w:p>
        </w:tc>
        <w:tc>
          <w:tcPr>
            <w:tcW w:w="2160" w:type="dxa"/>
            <w:vAlign w:val="center"/>
          </w:tcPr>
          <w:p w:rsidR="000B3FF4" w:rsidRPr="00157F3F" w:rsidRDefault="000B3FF4" w:rsidP="00157F3F">
            <w:r w:rsidRPr="00157F3F">
              <w:t>Набор реагентов для определения ассоциированных с сифилисом антител к кардиолипину в реакции преципитации.</w:t>
            </w:r>
          </w:p>
        </w:tc>
        <w:tc>
          <w:tcPr>
            <w:tcW w:w="4897" w:type="dxa"/>
            <w:noWrap/>
            <w:vAlign w:val="center"/>
          </w:tcPr>
          <w:p w:rsidR="000B3FF4" w:rsidRPr="00157F3F" w:rsidRDefault="000B3FF4" w:rsidP="00157F3F">
            <w:r w:rsidRPr="00157F3F">
              <w:t xml:space="preserve">Метод РПР (реакция флокуляции), качественный и полуколичественный. Проведение реакции на тест-карточках. Объем исследуемого образца не более 50 мкл. Суммарное время инкубации не более 8 мин. Количество определений не менее 400. Исследование проводится при комнатной температуре (диапазон от не более 18°С до не менее 25°С). </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2</w:t>
            </w:r>
          </w:p>
        </w:tc>
      </w:tr>
      <w:tr w:rsidR="000B3FF4" w:rsidRPr="000766D1" w:rsidTr="00D04DF4">
        <w:trPr>
          <w:trHeight w:val="225"/>
          <w:jc w:val="center"/>
        </w:trPr>
        <w:tc>
          <w:tcPr>
            <w:tcW w:w="540" w:type="dxa"/>
            <w:noWrap/>
            <w:vAlign w:val="center"/>
          </w:tcPr>
          <w:p w:rsidR="000B3FF4" w:rsidRPr="000766D1" w:rsidRDefault="000B3FF4" w:rsidP="003611AC">
            <w:pPr>
              <w:jc w:val="center"/>
            </w:pPr>
            <w:bookmarkStart w:id="0" w:name="_GoBack"/>
            <w:bookmarkEnd w:id="0"/>
            <w:r>
              <w:t>27</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G к антигенам Ascaris Lumbricoides в сыворотке крови</w:t>
            </w:r>
          </w:p>
        </w:tc>
        <w:tc>
          <w:tcPr>
            <w:tcW w:w="4897" w:type="dxa"/>
            <w:noWrap/>
            <w:vAlign w:val="center"/>
          </w:tcPr>
          <w:p w:rsidR="000B3FF4" w:rsidRPr="00157F3F" w:rsidRDefault="000B3FF4" w:rsidP="00157F3F">
            <w:r w:rsidRPr="00157F3F">
              <w:t>Метод ИФА. Количество определений не менее 96 (12х8). Без предварительной промывки планшета. Объем исследуемого образца не более 10 мкл. Готовые однокомпонентные растворы конъюгата и ТМБ, не требующие разведения.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Инкубация с ТМБ при комнатной температуре (диапазон от не более 20°С до не менее 25°С), без использования термостата. Возможность использования набора после вскрытия в течение всего срока годности.</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12</w:t>
            </w:r>
          </w:p>
        </w:tc>
      </w:tr>
      <w:tr w:rsidR="000B3FF4" w:rsidRPr="000766D1" w:rsidTr="00D04DF4">
        <w:trPr>
          <w:trHeight w:val="225"/>
          <w:jc w:val="center"/>
        </w:trPr>
        <w:tc>
          <w:tcPr>
            <w:tcW w:w="540" w:type="dxa"/>
            <w:noWrap/>
            <w:vAlign w:val="center"/>
          </w:tcPr>
          <w:p w:rsidR="000B3FF4" w:rsidRPr="000766D1" w:rsidRDefault="000B3FF4" w:rsidP="003611AC">
            <w:pPr>
              <w:jc w:val="center"/>
            </w:pPr>
            <w:r>
              <w:t>28</w:t>
            </w:r>
          </w:p>
        </w:tc>
        <w:tc>
          <w:tcPr>
            <w:tcW w:w="2160" w:type="dxa"/>
            <w:vAlign w:val="center"/>
          </w:tcPr>
          <w:p w:rsidR="000B3FF4" w:rsidRPr="00157F3F" w:rsidRDefault="000B3FF4" w:rsidP="00157F3F">
            <w:r w:rsidRPr="00157F3F">
              <w:t>Набор реагентов для иммуноферментного количественного и качественного определения иммуноглобулинов класса G к Toxoplasma gondii</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Минимальное суммарное время инкубации не более 1ч. 15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28 мл. Стабильность приготовленного промывочного раствора при температуре в диапазоне 2°С - 8°С не менее 1 месяца. Готовые жидкие калибраторы в диапазоне от не более 1 МЕ/мл до не менее 200 МЕ/мл – не менее 3 шт. по не менее 1,5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Возможность проведения инкубации с ТМБ при комнатной температуре (диапазон от не более 18°С до не менее 25°С), без использования термостата. Возможность использования калибровочных и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t>29</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Toxoplasma gondii</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Минимальное суммарное время инкубации не более 1ч. 15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28 мл. Стабильность приготовленного промывочного раствора при температуре в диапазоне 2°С - 8°С не менее 1 месяца. Объем положительного контрольного образца не менее 1,5 мл. Объем отрицательного контрольного образца не менее 2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Возможность проведения инкубации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62"/>
          <w:jc w:val="center"/>
        </w:trPr>
        <w:tc>
          <w:tcPr>
            <w:tcW w:w="540" w:type="dxa"/>
            <w:noWrap/>
            <w:vAlign w:val="center"/>
          </w:tcPr>
          <w:p w:rsidR="000B3FF4" w:rsidRPr="000766D1" w:rsidRDefault="000B3FF4" w:rsidP="003611AC">
            <w:pPr>
              <w:jc w:val="center"/>
            </w:pPr>
            <w:r>
              <w:t>30</w:t>
            </w:r>
          </w:p>
        </w:tc>
        <w:tc>
          <w:tcPr>
            <w:tcW w:w="2160" w:type="dxa"/>
            <w:vAlign w:val="center"/>
          </w:tcPr>
          <w:p w:rsidR="000B3FF4" w:rsidRPr="00157F3F" w:rsidRDefault="000B3FF4" w:rsidP="00157F3F">
            <w:r w:rsidRPr="00157F3F">
              <w:t>Набор реагентов для иммуноферментного количественного и качественного определения иммуноглобулинов класса G к вирусу краснухи в сыворотке (плазме) крови</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Минимальная достоверно определяемая набором концентрация аналита не более 2 МЕ/мл.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Готовые жидкие калибраторы в диапазоне от не более 1 МЕ/мл до не менее 200 МЕ/мл – не менее 4 шт. по не менее 1,5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калибровочных и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r w:rsidR="000B3FF4" w:rsidRPr="000766D1" w:rsidTr="00D04DF4">
        <w:trPr>
          <w:trHeight w:val="225"/>
          <w:jc w:val="center"/>
        </w:trPr>
        <w:tc>
          <w:tcPr>
            <w:tcW w:w="540" w:type="dxa"/>
            <w:noWrap/>
            <w:vAlign w:val="center"/>
          </w:tcPr>
          <w:p w:rsidR="000B3FF4" w:rsidRPr="000766D1" w:rsidRDefault="000B3FF4" w:rsidP="003611AC">
            <w:pPr>
              <w:jc w:val="center"/>
            </w:pPr>
            <w:r>
              <w:t>31</w:t>
            </w:r>
          </w:p>
        </w:tc>
        <w:tc>
          <w:tcPr>
            <w:tcW w:w="2160" w:type="dxa"/>
            <w:vAlign w:val="center"/>
          </w:tcPr>
          <w:p w:rsidR="000B3FF4" w:rsidRPr="00157F3F" w:rsidRDefault="000B3FF4" w:rsidP="00157F3F">
            <w:r w:rsidRPr="00157F3F">
              <w:t>Набор реагентов для иммуноферментного выявления иммуноглобулинов класса М к вирусу краснухи.</w:t>
            </w:r>
          </w:p>
        </w:tc>
        <w:tc>
          <w:tcPr>
            <w:tcW w:w="4897" w:type="dxa"/>
            <w:noWrap/>
            <w:vAlign w:val="center"/>
          </w:tcPr>
          <w:p w:rsidR="000B3FF4" w:rsidRPr="00157F3F" w:rsidRDefault="000B3FF4" w:rsidP="00157F3F">
            <w:r w:rsidRPr="00157F3F">
              <w:t>Метод ИФА. Количество определений не менее 96 (12х8). Набор рассчитан на проведение анализа не менее 96 исследуемых образцов сыворотки (плазмы) крови включая контроли. Суммарное время инкубации не более 1ч. 25 мин. Готовые однокомпонентные растворы конъюгата и ТМБ, не требующие разведения. Объем конъюгата не менее 12 мл. Объем ТМБ не менее 12 мл. Объем концентрата промывочного раствора, не менее 56 мл. Объем положительного контрольного образца не менее 1,5 мл. Объем отрицательного контрольного образца не менее 2 мл. Одинаковое количество промывок после инкубаций. Объем внесения стоп-реагента в одну лунку планшета, 100 мкл. Прогрев компонентов набора перед работой до комнатной температуры (диапазон от не более 18°С до не менее 25°С). Инкубация с ТМБ при комнатной температуре (диапазон от не более 18°С до не менее 25°С), без использования термостата. Возможность использования контрольных образцов, конъюгата и раствора ТМБ после вскрытия флаконов в течение всего срока годности набора. Возможность исследования сывороток, хранение которых, с момента забора крови и их получения, осуществлялось в температурном диапазоне от 2°С до 8°С, не менее 5 суток. Наборы реагентов для выявления иммуноглобулинов класса М и G к вирусам герпеса 1,2 типов, цитомегаловирусу, вирусу краснухи, Toxoplasma gondii должны иметь одинаковую схему (порядок, процедуру) проведения ИФА и общие неспецифические реагенты: промывочный раствор, стоп-реагент.</w:t>
            </w:r>
          </w:p>
        </w:tc>
        <w:tc>
          <w:tcPr>
            <w:tcW w:w="1887" w:type="dxa"/>
          </w:tcPr>
          <w:p w:rsidR="000B3FF4" w:rsidRPr="000766D1" w:rsidRDefault="000B3FF4" w:rsidP="00376924">
            <w:pPr>
              <w:jc w:val="both"/>
            </w:pPr>
          </w:p>
        </w:tc>
        <w:tc>
          <w:tcPr>
            <w:tcW w:w="764" w:type="dxa"/>
            <w:vAlign w:val="center"/>
          </w:tcPr>
          <w:p w:rsidR="000B3FF4" w:rsidRPr="00157F3F" w:rsidRDefault="000B3FF4" w:rsidP="00157F3F">
            <w:pPr>
              <w:jc w:val="center"/>
              <w:rPr>
                <w:sz w:val="22"/>
                <w:szCs w:val="22"/>
              </w:rPr>
            </w:pPr>
            <w:r w:rsidRPr="00157F3F">
              <w:rPr>
                <w:sz w:val="22"/>
                <w:szCs w:val="22"/>
              </w:rPr>
              <w:t>набор</w:t>
            </w:r>
          </w:p>
        </w:tc>
        <w:tc>
          <w:tcPr>
            <w:tcW w:w="769" w:type="dxa"/>
            <w:vAlign w:val="center"/>
          </w:tcPr>
          <w:p w:rsidR="000B3FF4" w:rsidRPr="00157F3F" w:rsidRDefault="000B3FF4" w:rsidP="00157F3F">
            <w:pPr>
              <w:jc w:val="center"/>
              <w:rPr>
                <w:sz w:val="22"/>
                <w:szCs w:val="22"/>
              </w:rPr>
            </w:pPr>
            <w:r w:rsidRPr="00157F3F">
              <w:rPr>
                <w:sz w:val="22"/>
                <w:szCs w:val="22"/>
              </w:rPr>
              <w:t>18</w:t>
            </w:r>
          </w:p>
        </w:tc>
      </w:tr>
    </w:tbl>
    <w:p w:rsidR="000B3FF4" w:rsidRDefault="000B3FF4" w:rsidP="003611AC">
      <w:pPr>
        <w:ind w:firstLine="708"/>
        <w:jc w:val="both"/>
        <w:rPr>
          <w:sz w:val="22"/>
          <w:szCs w:val="22"/>
        </w:rPr>
        <w:sectPr w:rsidR="000B3FF4" w:rsidSect="00157F3F">
          <w:type w:val="continuous"/>
          <w:pgSz w:w="11907" w:h="16840" w:code="9"/>
          <w:pgMar w:top="397" w:right="709" w:bottom="397" w:left="1021" w:header="567" w:footer="567" w:gutter="0"/>
          <w:cols w:space="708"/>
          <w:docGrid w:linePitch="272"/>
        </w:sectPr>
      </w:pPr>
    </w:p>
    <w:p w:rsidR="000B3FF4" w:rsidRDefault="000B3FF4" w:rsidP="003611AC">
      <w:pPr>
        <w:ind w:firstLine="708"/>
        <w:jc w:val="both"/>
        <w:rPr>
          <w:sz w:val="22"/>
          <w:szCs w:val="22"/>
        </w:rPr>
      </w:pPr>
    </w:p>
    <w:p w:rsidR="000B3FF4" w:rsidRPr="00133CC4" w:rsidRDefault="000B3FF4"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0B3FF4" w:rsidRPr="00133CC4" w:rsidRDefault="000B3FF4"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0B3FF4" w:rsidRPr="00133CC4" w:rsidRDefault="000B3FF4"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0B3FF4" w:rsidRPr="00133CC4" w:rsidRDefault="000B3FF4"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0B3FF4" w:rsidRPr="00133CC4" w:rsidRDefault="000B3FF4"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0B3FF4" w:rsidRDefault="000B3FF4" w:rsidP="003611AC">
      <w:pPr>
        <w:ind w:firstLine="708"/>
        <w:jc w:val="both"/>
        <w:rPr>
          <w:sz w:val="22"/>
          <w:szCs w:val="22"/>
        </w:rPr>
      </w:pPr>
    </w:p>
    <w:p w:rsidR="000B3FF4" w:rsidRPr="00133CC4" w:rsidRDefault="000B3FF4"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0B3FF4" w:rsidRPr="00133CC4" w:rsidRDefault="000B3FF4"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0B3FF4" w:rsidRPr="00133CC4" w:rsidRDefault="000B3FF4"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0B3FF4" w:rsidRDefault="000B3FF4" w:rsidP="00B92291">
      <w:pPr>
        <w:pStyle w:val="Default"/>
        <w:ind w:firstLine="709"/>
        <w:jc w:val="both"/>
        <w:rPr>
          <w:highlight w:val="yellow"/>
        </w:rPr>
      </w:pPr>
    </w:p>
    <w:sectPr w:rsidR="000B3FF4" w:rsidSect="00157F3F">
      <w:pgSz w:w="11907" w:h="16840" w:code="9"/>
      <w:pgMar w:top="397" w:right="709" w:bottom="397" w:left="1021" w:header="567"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FF4" w:rsidRDefault="000B3FF4" w:rsidP="00B14A94">
      <w:r>
        <w:separator/>
      </w:r>
    </w:p>
  </w:endnote>
  <w:endnote w:type="continuationSeparator" w:id="0">
    <w:p w:rsidR="000B3FF4" w:rsidRDefault="000B3FF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Default="000B3FF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3FF4" w:rsidRDefault="000B3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Default="000B3FF4" w:rsidP="00BC21BD">
    <w:pPr>
      <w:pStyle w:val="Footer"/>
      <w:framePr w:wrap="around" w:vAnchor="text" w:hAnchor="margin" w:xAlign="center" w:y="1"/>
      <w:jc w:val="center"/>
    </w:pPr>
    <w:r>
      <w:t>Аукционная документация</w:t>
    </w:r>
  </w:p>
  <w:p w:rsidR="000B3FF4" w:rsidRDefault="000B3F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Default="000B3FF4"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FF4" w:rsidRDefault="000B3FF4" w:rsidP="00B14A94">
      <w:r>
        <w:separator/>
      </w:r>
    </w:p>
  </w:footnote>
  <w:footnote w:type="continuationSeparator" w:id="0">
    <w:p w:rsidR="000B3FF4" w:rsidRDefault="000B3FF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Default="000B3FF4"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B3FF4" w:rsidRDefault="000B3FF4"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Pr="00F65967" w:rsidRDefault="000B3FF4"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40</w:t>
    </w:r>
    <w:r w:rsidRPr="00F65967">
      <w:rPr>
        <w:rStyle w:val="PageNumber"/>
        <w:sz w:val="22"/>
        <w:szCs w:val="22"/>
      </w:rPr>
      <w:fldChar w:fldCharType="end"/>
    </w:r>
  </w:p>
  <w:p w:rsidR="000B3FF4" w:rsidRDefault="000B3FF4"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4" w:rsidRDefault="000B3FF4"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311A7112"/>
    <w:multiLevelType w:val="hybridMultilevel"/>
    <w:tmpl w:val="8B860DCA"/>
    <w:lvl w:ilvl="0" w:tplc="0C8CAE1A">
      <w:start w:val="5"/>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5">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6">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7"/>
  </w:num>
  <w:num w:numId="43">
    <w:abstractNumId w:val="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
  </w:num>
  <w:num w:numId="50">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4799"/>
    <w:rsid w:val="00017B38"/>
    <w:rsid w:val="00017D77"/>
    <w:rsid w:val="00020D43"/>
    <w:rsid w:val="000306B8"/>
    <w:rsid w:val="00031E31"/>
    <w:rsid w:val="00036EE0"/>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6120"/>
    <w:rsid w:val="0007130A"/>
    <w:rsid w:val="000713E5"/>
    <w:rsid w:val="00071BC9"/>
    <w:rsid w:val="0007425B"/>
    <w:rsid w:val="00075DA4"/>
    <w:rsid w:val="000766D1"/>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3FF4"/>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57F3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6340"/>
    <w:rsid w:val="00277333"/>
    <w:rsid w:val="00282B5E"/>
    <w:rsid w:val="0028542D"/>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27A3"/>
    <w:rsid w:val="004167FD"/>
    <w:rsid w:val="004168A7"/>
    <w:rsid w:val="00417B58"/>
    <w:rsid w:val="00417F1F"/>
    <w:rsid w:val="00422498"/>
    <w:rsid w:val="0043340E"/>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28B1"/>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6AE4"/>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077D"/>
    <w:rsid w:val="0051288F"/>
    <w:rsid w:val="005138C6"/>
    <w:rsid w:val="0051515C"/>
    <w:rsid w:val="0051723B"/>
    <w:rsid w:val="0052337D"/>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2F2E"/>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CC2"/>
    <w:rsid w:val="009568AB"/>
    <w:rsid w:val="0096038F"/>
    <w:rsid w:val="00960B4E"/>
    <w:rsid w:val="00960D10"/>
    <w:rsid w:val="009638D3"/>
    <w:rsid w:val="0096418A"/>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857"/>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04DF4"/>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D7B"/>
    <w:rsid w:val="00DC5984"/>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0648C"/>
    <w:rsid w:val="00F10398"/>
    <w:rsid w:val="00F108FC"/>
    <w:rsid w:val="00F10BD0"/>
    <w:rsid w:val="00F17465"/>
    <w:rsid w:val="00F22591"/>
    <w:rsid w:val="00F26747"/>
    <w:rsid w:val="00F312BF"/>
    <w:rsid w:val="00F32F3C"/>
    <w:rsid w:val="00F33C73"/>
    <w:rsid w:val="00F33E5F"/>
    <w:rsid w:val="00F360D7"/>
    <w:rsid w:val="00F375E3"/>
    <w:rsid w:val="00F41A63"/>
    <w:rsid w:val="00F643BF"/>
    <w:rsid w:val="00F65584"/>
    <w:rsid w:val="00F65967"/>
    <w:rsid w:val="00F665FE"/>
    <w:rsid w:val="00F67011"/>
    <w:rsid w:val="00F71F4D"/>
    <w:rsid w:val="00F74BBA"/>
    <w:rsid w:val="00F762FF"/>
    <w:rsid w:val="00F86880"/>
    <w:rsid w:val="00F86AA4"/>
    <w:rsid w:val="00FA0571"/>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23725051">
      <w:marLeft w:val="0"/>
      <w:marRight w:val="0"/>
      <w:marTop w:val="0"/>
      <w:marBottom w:val="0"/>
      <w:divBdr>
        <w:top w:val="none" w:sz="0" w:space="0" w:color="auto"/>
        <w:left w:val="none" w:sz="0" w:space="0" w:color="auto"/>
        <w:bottom w:val="none" w:sz="0" w:space="0" w:color="auto"/>
        <w:right w:val="none" w:sz="0" w:space="0" w:color="auto"/>
      </w:divBdr>
    </w:div>
    <w:div w:id="1423725052">
      <w:marLeft w:val="0"/>
      <w:marRight w:val="0"/>
      <w:marTop w:val="0"/>
      <w:marBottom w:val="0"/>
      <w:divBdr>
        <w:top w:val="none" w:sz="0" w:space="0" w:color="auto"/>
        <w:left w:val="none" w:sz="0" w:space="0" w:color="auto"/>
        <w:bottom w:val="none" w:sz="0" w:space="0" w:color="auto"/>
        <w:right w:val="none" w:sz="0" w:space="0" w:color="auto"/>
      </w:divBdr>
    </w:div>
    <w:div w:id="1423725053">
      <w:marLeft w:val="0"/>
      <w:marRight w:val="0"/>
      <w:marTop w:val="0"/>
      <w:marBottom w:val="0"/>
      <w:divBdr>
        <w:top w:val="none" w:sz="0" w:space="0" w:color="auto"/>
        <w:left w:val="none" w:sz="0" w:space="0" w:color="auto"/>
        <w:bottom w:val="none" w:sz="0" w:space="0" w:color="auto"/>
        <w:right w:val="none" w:sz="0" w:space="0" w:color="auto"/>
      </w:divBdr>
    </w:div>
    <w:div w:id="1423725054">
      <w:marLeft w:val="0"/>
      <w:marRight w:val="0"/>
      <w:marTop w:val="0"/>
      <w:marBottom w:val="0"/>
      <w:divBdr>
        <w:top w:val="none" w:sz="0" w:space="0" w:color="auto"/>
        <w:left w:val="none" w:sz="0" w:space="0" w:color="auto"/>
        <w:bottom w:val="none" w:sz="0" w:space="0" w:color="auto"/>
        <w:right w:val="none" w:sz="0" w:space="0" w:color="auto"/>
      </w:divBdr>
    </w:div>
    <w:div w:id="1423725055">
      <w:marLeft w:val="0"/>
      <w:marRight w:val="0"/>
      <w:marTop w:val="0"/>
      <w:marBottom w:val="0"/>
      <w:divBdr>
        <w:top w:val="none" w:sz="0" w:space="0" w:color="auto"/>
        <w:left w:val="none" w:sz="0" w:space="0" w:color="auto"/>
        <w:bottom w:val="none" w:sz="0" w:space="0" w:color="auto"/>
        <w:right w:val="none" w:sz="0" w:space="0" w:color="auto"/>
      </w:divBdr>
    </w:div>
    <w:div w:id="1423725056">
      <w:marLeft w:val="0"/>
      <w:marRight w:val="0"/>
      <w:marTop w:val="0"/>
      <w:marBottom w:val="0"/>
      <w:divBdr>
        <w:top w:val="none" w:sz="0" w:space="0" w:color="auto"/>
        <w:left w:val="none" w:sz="0" w:space="0" w:color="auto"/>
        <w:bottom w:val="none" w:sz="0" w:space="0" w:color="auto"/>
        <w:right w:val="none" w:sz="0" w:space="0" w:color="auto"/>
      </w:divBdr>
    </w:div>
    <w:div w:id="1423725057">
      <w:marLeft w:val="0"/>
      <w:marRight w:val="0"/>
      <w:marTop w:val="0"/>
      <w:marBottom w:val="0"/>
      <w:divBdr>
        <w:top w:val="none" w:sz="0" w:space="0" w:color="auto"/>
        <w:left w:val="none" w:sz="0" w:space="0" w:color="auto"/>
        <w:bottom w:val="none" w:sz="0" w:space="0" w:color="auto"/>
        <w:right w:val="none" w:sz="0" w:space="0" w:color="auto"/>
      </w:divBdr>
    </w:div>
    <w:div w:id="1423725058">
      <w:marLeft w:val="0"/>
      <w:marRight w:val="0"/>
      <w:marTop w:val="0"/>
      <w:marBottom w:val="0"/>
      <w:divBdr>
        <w:top w:val="none" w:sz="0" w:space="0" w:color="auto"/>
        <w:left w:val="none" w:sz="0" w:space="0" w:color="auto"/>
        <w:bottom w:val="none" w:sz="0" w:space="0" w:color="auto"/>
        <w:right w:val="none" w:sz="0" w:space="0" w:color="auto"/>
      </w:divBdr>
    </w:div>
    <w:div w:id="1423725059">
      <w:marLeft w:val="0"/>
      <w:marRight w:val="0"/>
      <w:marTop w:val="0"/>
      <w:marBottom w:val="0"/>
      <w:divBdr>
        <w:top w:val="none" w:sz="0" w:space="0" w:color="auto"/>
        <w:left w:val="none" w:sz="0" w:space="0" w:color="auto"/>
        <w:bottom w:val="none" w:sz="0" w:space="0" w:color="auto"/>
        <w:right w:val="none" w:sz="0" w:space="0" w:color="auto"/>
      </w:divBdr>
    </w:div>
    <w:div w:id="1423725060">
      <w:marLeft w:val="0"/>
      <w:marRight w:val="0"/>
      <w:marTop w:val="0"/>
      <w:marBottom w:val="0"/>
      <w:divBdr>
        <w:top w:val="none" w:sz="0" w:space="0" w:color="auto"/>
        <w:left w:val="none" w:sz="0" w:space="0" w:color="auto"/>
        <w:bottom w:val="none" w:sz="0" w:space="0" w:color="auto"/>
        <w:right w:val="none" w:sz="0" w:space="0" w:color="auto"/>
      </w:divBdr>
    </w:div>
    <w:div w:id="1423725061">
      <w:marLeft w:val="0"/>
      <w:marRight w:val="0"/>
      <w:marTop w:val="0"/>
      <w:marBottom w:val="0"/>
      <w:divBdr>
        <w:top w:val="none" w:sz="0" w:space="0" w:color="auto"/>
        <w:left w:val="none" w:sz="0" w:space="0" w:color="auto"/>
        <w:bottom w:val="none" w:sz="0" w:space="0" w:color="auto"/>
        <w:right w:val="none" w:sz="0" w:space="0" w:color="auto"/>
      </w:divBdr>
    </w:div>
    <w:div w:id="1423725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12</Pages>
  <Words>5570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6</cp:revision>
  <cp:lastPrinted>2018-06-20T06:13:00Z</cp:lastPrinted>
  <dcterms:created xsi:type="dcterms:W3CDTF">2021-11-19T11:34:00Z</dcterms:created>
  <dcterms:modified xsi:type="dcterms:W3CDTF">2021-12-02T12:49:00Z</dcterms:modified>
</cp:coreProperties>
</file>