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8C2287">
      <w:pPr>
        <w:pStyle w:val="ad"/>
      </w:pPr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121982-21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продуктов питания</w:t>
      </w:r>
    </w:p>
    <w:p w:rsidR="007C3BF1" w:rsidRDefault="008C2287">
      <w:pPr>
        <w:ind w:left="1418"/>
      </w:pPr>
      <w:r>
        <w:t>Цена договора, руб.: 791 130,00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7F6FFE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7F6FFE">
        <w:t xml:space="preserve"> </w:t>
      </w:r>
      <w:r>
        <w:t>организации: ГОСУДАРСТВЕННОЕ БЮДЖЕТНОЕ УЧРЕЖДЕНИЕ ЗДРАВООХРАНЕНИЯ МОСКОВСКОЙ ОБЛАСТИ "ДРЕЗНЕНСКАЯ ГОРОДСКАЯ БОЛЬНИЦА"</w:t>
      </w:r>
    </w:p>
    <w:p w:rsidR="007C3BF1" w:rsidRDefault="008C2287">
      <w:pPr>
        <w:ind w:left="1418"/>
      </w:pPr>
      <w:r>
        <w:t>ИНН: 5073060392</w:t>
      </w:r>
    </w:p>
    <w:p w:rsidR="007C3BF1" w:rsidRDefault="008C2287">
      <w:pPr>
        <w:ind w:left="1418"/>
      </w:pPr>
      <w:r>
        <w:t xml:space="preserve">КПП: </w:t>
      </w:r>
      <w:r w:rsidRPr="007F6FFE">
        <w:t>503401001</w:t>
      </w:r>
    </w:p>
    <w:p w:rsidR="007C3BF1" w:rsidRDefault="008C2287">
      <w:pPr>
        <w:ind w:left="1418"/>
      </w:pPr>
      <w:r>
        <w:t>Место нахождения:</w:t>
      </w:r>
      <w:r w:rsidRPr="007F6FFE">
        <w:t xml:space="preserve"> Российская Федерация, 142660, Московская обл, Орехово-Зуевский р-н, Дрезна г, ул. </w:t>
      </w:r>
      <w:r>
        <w:rPr>
          <w:lang w:val="en-US"/>
        </w:rPr>
        <w:t>Центральная, 16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Российская Федерация, 142660, Московская обл, Орехово-Зуевский р-н, Дрезна г, ул. Центральная, 16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4D603C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01.13.01.01.02.39.02</w:t>
            </w:r>
            <w:r>
              <w:rPr>
                <w:b/>
              </w:rPr>
              <w:t xml:space="preserve"> / </w:t>
            </w:r>
            <w:r>
              <w:t>01.23.13.000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Апельсины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01.13.01.01.02.07</w:t>
            </w:r>
            <w:r>
              <w:rPr>
                <w:b/>
              </w:rPr>
              <w:t xml:space="preserve"> / </w:t>
            </w:r>
            <w:r>
              <w:t>01.22.12.000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Бананы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01.13.05.01.01.02.01</w:t>
            </w:r>
            <w:r>
              <w:rPr>
                <w:b/>
              </w:rPr>
              <w:t xml:space="preserve"> / </w:t>
            </w:r>
            <w:r>
              <w:t>10.11.31.110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Говядина замороженная первого сорта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01.13.01.01.02.42.01</w:t>
            </w:r>
            <w:r>
              <w:rPr>
                <w:b/>
              </w:rPr>
              <w:t xml:space="preserve"> / </w:t>
            </w:r>
            <w:r>
              <w:t>01.24.21.000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Груши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01.13.01.01.01.02.02</w:t>
            </w:r>
            <w:r>
              <w:rPr>
                <w:b/>
              </w:rPr>
              <w:t xml:space="preserve"> / </w:t>
            </w:r>
            <w:r>
              <w:t>01.13.12.120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Капуста белокочанная средняя и поздняя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01.13.01.01.01.08.05</w:t>
            </w:r>
            <w:r>
              <w:rPr>
                <w:b/>
              </w:rPr>
              <w:t xml:space="preserve"> / </w:t>
            </w:r>
            <w:r>
              <w:t>01.13.51.120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Картофель столовый поздний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1 130,0000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01.13.06.09.02.22.01</w:t>
            </w:r>
            <w:r>
              <w:rPr>
                <w:b/>
              </w:rPr>
              <w:t xml:space="preserve"> / </w:t>
            </w:r>
            <w:r>
              <w:t>10.51.52.140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Кефир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390,0000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Литр;^кубический дециметр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01.14.01.02.04</w:t>
            </w:r>
            <w:r>
              <w:rPr>
                <w:b/>
              </w:rPr>
              <w:t xml:space="preserve"> / </w:t>
            </w:r>
            <w:r>
              <w:t>01.47.11.500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Курица мясных и мясо-яичных пород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01.13.01.01.01.05.02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Лук (зелень)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01.13.01.01.01.06.01</w:t>
            </w:r>
            <w:r>
              <w:rPr>
                <w:b/>
              </w:rPr>
              <w:t xml:space="preserve"> / </w:t>
            </w:r>
            <w:r>
              <w:t>01.13.43.110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Лук репчатый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01.13.08.02.04.01</w:t>
            </w:r>
            <w:r>
              <w:rPr>
                <w:b/>
              </w:rPr>
              <w:t xml:space="preserve"> / </w:t>
            </w:r>
            <w:r>
              <w:t>10.41.54.000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Масло подсолнечное рафинированное (Штука)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Литр;^кубический дециметр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01.13.06.01.05</w:t>
            </w:r>
            <w:r>
              <w:rPr>
                <w:b/>
              </w:rPr>
              <w:t xml:space="preserve"> / </w:t>
            </w:r>
            <w:r>
              <w:t>10.51.11.111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Молоко питьевое с массовой долей жира от 1,2 % до 4,5 % пастеризованное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Литр;^кубический дециметр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01.13.01.01.01.07.11.02</w:t>
            </w:r>
            <w:r>
              <w:rPr>
                <w:b/>
              </w:rPr>
              <w:t xml:space="preserve"> / </w:t>
            </w:r>
            <w:r>
              <w:t>01.13.41.110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Морковь столовая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01.13.01.01.01.03.08.02</w:t>
            </w:r>
            <w:r>
              <w:rPr>
                <w:b/>
              </w:rPr>
              <w:t xml:space="preserve"> / </w:t>
            </w:r>
            <w:r>
              <w:t>01.13.32.000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Огурцы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01.13.01.02.04.03.03.08.01</w:t>
            </w:r>
            <w:r>
              <w:rPr>
                <w:b/>
              </w:rPr>
              <w:t xml:space="preserve"> / </w:t>
            </w:r>
            <w:r>
              <w:t>10.39.17.190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Огурцы консервированные без уксуса (уксусной кислоты),  Штука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01.13.01.02.04.03.01.05</w:t>
            </w:r>
            <w:r>
              <w:rPr>
                <w:b/>
              </w:rPr>
              <w:t xml:space="preserve"> / </w:t>
            </w:r>
            <w:r>
              <w:t>10.39.17.112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Паста томатная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01.13.01.01.01.03.05</w:t>
            </w:r>
            <w:r>
              <w:rPr>
                <w:b/>
              </w:rPr>
              <w:t xml:space="preserve"> / </w:t>
            </w:r>
            <w:r>
              <w:t>01.13.39.190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Перец сладкий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140,0000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01.13.01.01.01.05.03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Петрушка свежая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01.71.15.01.03.01.02.03</w:t>
            </w:r>
            <w:r>
              <w:rPr>
                <w:b/>
              </w:rPr>
              <w:t xml:space="preserve"> / </w:t>
            </w:r>
            <w:r>
              <w:t>10.20.13.121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Рыба трескообразная мороженая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170,0000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01.13.11.03.05.02</w:t>
            </w:r>
            <w:r>
              <w:rPr>
                <w:b/>
              </w:rPr>
              <w:t xml:space="preserve"> / </w:t>
            </w:r>
            <w:r>
              <w:t>10.81.12.110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Сахар свекловичный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170,0000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01.13.01.01.01.07.12.03</w:t>
            </w:r>
            <w:r>
              <w:rPr>
                <w:b/>
              </w:rPr>
              <w:t xml:space="preserve"> / </w:t>
            </w:r>
            <w:r>
              <w:t>01.13.49.110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Свекла столовая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01.13.01.02.05.04.05</w:t>
            </w:r>
            <w:r>
              <w:rPr>
                <w:b/>
              </w:rPr>
              <w:t xml:space="preserve"> / </w:t>
            </w:r>
            <w:r>
              <w:t>10.39.25.110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Смесь сушеных фруктов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01.13.06.09.01.01</w:t>
            </w:r>
            <w:r>
              <w:rPr>
                <w:b/>
              </w:rPr>
              <w:t xml:space="preserve"> / </w:t>
            </w:r>
            <w:r>
              <w:t>10.51.52.211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Сметана с массовой долей жира от 10,0 % до 17,0 %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01.13.06.03.01.02</w:t>
            </w:r>
            <w:r>
              <w:rPr>
                <w:b/>
              </w:rPr>
              <w:t xml:space="preserve"> / </w:t>
            </w:r>
            <w:r>
              <w:t>10.51.40.121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Сыр полутвердый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55,0000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01.13.06.03.02.03</w:t>
            </w:r>
            <w:r>
              <w:rPr>
                <w:b/>
              </w:rPr>
              <w:t xml:space="preserve"> / </w:t>
            </w:r>
            <w:r>
              <w:t>10.51.40.313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Творог с массовой долей жира от 4,0 % до 18,0 %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01.13.01.01.01.03.06</w:t>
            </w:r>
            <w:r>
              <w:rPr>
                <w:b/>
              </w:rPr>
              <w:t xml:space="preserve"> / </w:t>
            </w:r>
            <w:r>
              <w:t>01.13.34.000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Томаты (помидоры)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01.13.01.01.01.05.05</w:t>
            </w:r>
            <w:r>
              <w:rPr>
                <w:b/>
              </w:rPr>
              <w:t xml:space="preserve"> / </w:t>
            </w:r>
            <w:r>
              <w:t>01.13.19.000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Укроп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01.13.01.01.03.16</w:t>
            </w:r>
            <w:r>
              <w:rPr>
                <w:b/>
              </w:rPr>
              <w:t xml:space="preserve"> / </w:t>
            </w:r>
            <w:r>
              <w:t>02.30.40.120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Шиповника плоды сушеные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45,0000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01.13.01.01.02.41.01</w:t>
            </w:r>
            <w:r>
              <w:rPr>
                <w:b/>
              </w:rPr>
              <w:t xml:space="preserve"> / </w:t>
            </w:r>
            <w:r>
              <w:t>01.24.10.000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Яблоки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Килограмм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4D603C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01.13.17.10</w:t>
            </w:r>
            <w:r>
              <w:rPr>
                <w:b/>
              </w:rPr>
              <w:t xml:space="preserve"> / </w:t>
            </w:r>
            <w:r>
              <w:t>01.47.21.000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Яйцо диетическое куриное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1 570,0000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3" w:name="Par697"/>
      <w:bookmarkEnd w:id="3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4D603C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Срок начала исполнения обязательства, </w:t>
            </w:r>
            <w:r>
              <w:lastRenderedPageBreak/>
              <w:t>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 xml:space="preserve">Срок окончания исполнения </w:t>
            </w:r>
            <w:r>
              <w:lastRenderedPageBreak/>
              <w:t>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Условия предоставле</w:t>
            </w:r>
            <w:r>
              <w:rPr>
                <w:lang w:val="en-US"/>
              </w:rPr>
              <w:t>-</w:t>
            </w:r>
            <w:r>
              <w:t xml:space="preserve">ния </w:t>
            </w:r>
            <w:r>
              <w:lastRenderedPageBreak/>
              <w:t>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4D603C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Апельсины,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Бананы,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Говядина замороженная первого сорта,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Груши,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Капуста белокочанная средняя и поздняя,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Картофель столовый поздний,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1 130,0000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</w:t>
            </w:r>
            <w:r w:rsidR="000B5400">
              <w:lastRenderedPageBreak/>
              <w:t xml:space="preserve">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Кефир,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390,0000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01.24.10.140, </w:t>
            </w:r>
            <w:r>
              <w:t>наименование</w:t>
            </w:r>
            <w:r w:rsidRPr="000B5400">
              <w:t xml:space="preserve">:  Курица мясных и мясо-яичных пород,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01.12.13.139, </w:t>
            </w:r>
            <w:r>
              <w:t>наименование</w:t>
            </w:r>
            <w:r w:rsidRPr="000B5400">
              <w:t xml:space="preserve">:  Лук (зелень),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Лук репчатый,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80,0000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Масло подсолнечное рафинированное (Штука),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Молоко </w:t>
            </w:r>
            <w:r w:rsidRPr="000B5400">
              <w:lastRenderedPageBreak/>
              <w:t xml:space="preserve">питьевое с массовой долей жира от 1,2 % до 4,5 % пастеризованное,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1 500,0000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Литр;^кубический дециметр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Морковь столовая,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Огурцы,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15.33.14.312, </w:t>
            </w:r>
            <w:r>
              <w:t>наименование</w:t>
            </w:r>
            <w:r w:rsidRPr="000B5400">
              <w:t xml:space="preserve">:  Огурцы консервированные без уксуса (уксусной кислоты),  Штука,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Паста томатная,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Перец сладкий,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140,0000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</w:t>
            </w:r>
            <w:r w:rsidR="000B5400">
              <w:lastRenderedPageBreak/>
              <w:t xml:space="preserve">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Петрушка свежая,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Рыба трескообразная мороженая,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170,0000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Сахар свекловичный,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170,0000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Свекла столовая,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Смесь сушеных фруктов,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Сметана с массовой долей жира от 10,0 % до 17,0 %,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Сыр полутвердый,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55,0000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Творог с массовой долей жира от 4,0 % до 18,0 %,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Томаты (помидоры),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Укроп,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Шиповника плоды сушеные,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45,0000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Яблоки,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Килограмм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01.24.20.119, </w:t>
            </w:r>
            <w:r>
              <w:t>наименование</w:t>
            </w:r>
            <w:r w:rsidRPr="000B5400">
              <w:t xml:space="preserve">:  Яйцо диетическое куриное,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1 570,0000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lastRenderedPageBreak/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7F6FFE" w:rsidRDefault="008C2287">
            <w:pPr>
              <w:pStyle w:val="aff1"/>
            </w:pPr>
            <w:r w:rsidRPr="007F6FFE">
              <w:t>5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7F6FFE" w:rsidRDefault="008C2287">
            <w:pPr>
              <w:pStyle w:val="aff1"/>
            </w:pPr>
            <w:r w:rsidRPr="007F6FFE">
              <w:t>в течение 5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4D603C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4D603C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независимо от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«Товарная накладная (ТОРГ-12, унифицированный формат, приказ ФНС России от 30.11.2015 г. № ММВ-7-10/551@)» (Оплата №01)</w:t>
            </w:r>
          </w:p>
        </w:tc>
      </w:tr>
    </w:tbl>
    <w:p w:rsidR="007C3BF1" w:rsidRPr="007F6FFE" w:rsidRDefault="007C3BF1"/>
    <w:p w:rsidR="007C3BF1" w:rsidRDefault="008C2287">
      <w:r w:rsidRPr="007F6FFE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9"/>
        <w:gridCol w:w="2480"/>
        <w:gridCol w:w="1865"/>
        <w:gridCol w:w="1871"/>
      </w:tblGrid>
      <w:tr w:rsidR="004D603C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4D603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4D603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4D603C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4D603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4D603C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4D603C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Экспертное заключение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 раб. дн. от даты предоставления документа-основания "Товарная накладная (ТОРГ-12, унифицированный формат, приказ ФНС России от 30.11.2015 г. № ММВ-7-10/551@)"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6"/>
        <w:gridCol w:w="5408"/>
        <w:gridCol w:w="2480"/>
        <w:gridCol w:w="1864"/>
        <w:gridCol w:w="2272"/>
      </w:tblGrid>
      <w:tr w:rsidR="004D603C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4D603C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</w:t>
            </w:r>
            <w:r>
              <w:lastRenderedPageBreak/>
              <w:t>10/551@)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Оплата №01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4D603C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p w:rsidR="004D603C" w:rsidRDefault="004D603C"/>
    <w:tbl>
      <w:tblPr>
        <w:tblW w:w="5000" w:type="pct"/>
        <w:tblLook w:val="04A0"/>
      </w:tblPr>
      <w:tblGrid>
        <w:gridCol w:w="14786"/>
      </w:tblGrid>
      <w:tr w:rsidR="004D603C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Владелец: </w:t>
                  </w:r>
                  <w:r>
                    <w:rPr>
                      <w:color w:val="000000"/>
                      <w:sz w:val="20"/>
                    </w:rPr>
                    <w:t>Пономарева Елена Васильевна исполняющий обязанности главного врача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ГБУЗ МОСКОВСКОЙ ОБЛАСТИ "ДРЕЗНЕНСКАЯ ГОРОДСКАЯ БОЛЬНИЦА" 5073060392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08.12.2021 11:54:37 (МСК)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4D603C">
                  <w:pPr>
                    <w:spacing w:after="0"/>
                  </w:pP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Серийный номер: </w:t>
                  </w:r>
                  <w:r>
                    <w:rPr>
                      <w:color w:val="000000"/>
                      <w:sz w:val="20"/>
                    </w:rPr>
                    <w:t>03CC432E01C2ADCB9D4AE5A2438101D58A</w:t>
                  </w:r>
                </w:p>
              </w:tc>
            </w:tr>
            <w:tr w:rsidR="004D603C">
              <w:tc>
                <w:tcPr>
                  <w:tcW w:w="100" w:type="pct"/>
                  <w:shd w:val="clear" w:color="auto" w:fill="auto"/>
                  <w:vAlign w:val="center"/>
                </w:tcPr>
                <w:p w:rsidR="004D603C" w:rsidRDefault="00DB1C0A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15.10.2021 21:15:31 - 15.01.2023 16:10:22</w:t>
                  </w:r>
                </w:p>
              </w:tc>
            </w:tr>
          </w:tbl>
          <w:p w:rsidR="004D603C" w:rsidRDefault="004D603C"/>
        </w:tc>
      </w:tr>
    </w:tbl>
    <w:p w:rsidR="004D603C" w:rsidRDefault="004D603C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4D603C">
        <w:tc>
          <w:tcPr>
            <w:tcW w:w="100" w:type="pct"/>
            <w:shd w:val="clear" w:color="auto" w:fill="000000" w:themeFill="dark1"/>
            <w:vAlign w:val="center"/>
          </w:tcPr>
          <w:p w:rsidR="004D603C" w:rsidRDefault="00DB1C0A">
            <w:pPr>
              <w:spacing w:after="0"/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4D603C" w:rsidRDefault="004D603C"/>
    <w:sectPr w:rsidR="004D603C" w:rsidSect="004D603C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C0A" w:rsidRDefault="00DB1C0A">
      <w:pPr>
        <w:spacing w:after="0" w:line="240" w:lineRule="auto"/>
      </w:pPr>
      <w:r>
        <w:separator/>
      </w:r>
    </w:p>
  </w:endnote>
  <w:endnote w:type="continuationSeparator" w:id="1">
    <w:p w:rsidR="00DB1C0A" w:rsidRDefault="00DB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4D603C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7F6FFE">
      <w:rPr>
        <w:noProof/>
      </w:rPr>
      <w:t>15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4D603C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C0A" w:rsidRDefault="00DB1C0A">
      <w:pPr>
        <w:spacing w:after="0" w:line="240" w:lineRule="auto"/>
      </w:pPr>
      <w:r>
        <w:separator/>
      </w:r>
    </w:p>
  </w:footnote>
  <w:footnote w:type="continuationSeparator" w:id="1">
    <w:p w:rsidR="00DB1C0A" w:rsidRDefault="00DB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03C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6FFE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B1C0A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3C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4D603C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4D603C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D603C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03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03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03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03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03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03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4D603C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60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4D603C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4D603C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4D603C"/>
    <w:rPr>
      <w:sz w:val="20"/>
      <w:szCs w:val="20"/>
    </w:rPr>
  </w:style>
  <w:style w:type="paragraph" w:styleId="ab">
    <w:name w:val="header"/>
    <w:basedOn w:val="a"/>
    <w:uiPriority w:val="99"/>
    <w:rsid w:val="004D603C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4D603C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4D603C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4D603C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4D603C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4D603C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4D6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4D603C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4D603C"/>
    <w:rPr>
      <w:sz w:val="16"/>
      <w:szCs w:val="16"/>
    </w:rPr>
  </w:style>
  <w:style w:type="character" w:styleId="af3">
    <w:name w:val="endnote reference"/>
    <w:rsid w:val="004D603C"/>
    <w:rPr>
      <w:vertAlign w:val="superscript"/>
    </w:rPr>
  </w:style>
  <w:style w:type="character" w:styleId="af4">
    <w:name w:val="Hyperlink"/>
    <w:rsid w:val="004D603C"/>
    <w:rPr>
      <w:color w:val="000080"/>
      <w:u w:val="single"/>
    </w:rPr>
  </w:style>
  <w:style w:type="table" w:styleId="af5">
    <w:name w:val="Table Grid"/>
    <w:basedOn w:val="a1"/>
    <w:uiPriority w:val="39"/>
    <w:rsid w:val="004D6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4D603C"/>
  </w:style>
  <w:style w:type="character" w:customStyle="1" w:styleId="WW8Num1z1">
    <w:name w:val="WW8Num1z1"/>
    <w:rsid w:val="004D603C"/>
    <w:rPr>
      <w:rFonts w:cs="Times New Roman"/>
    </w:rPr>
  </w:style>
  <w:style w:type="character" w:customStyle="1" w:styleId="WW8Num1z2">
    <w:name w:val="WW8Num1z2"/>
    <w:rsid w:val="004D603C"/>
  </w:style>
  <w:style w:type="character" w:customStyle="1" w:styleId="WW8Num1z3">
    <w:name w:val="WW8Num1z3"/>
    <w:rsid w:val="004D603C"/>
  </w:style>
  <w:style w:type="character" w:customStyle="1" w:styleId="WW8Num1z4">
    <w:name w:val="WW8Num1z4"/>
    <w:rsid w:val="004D603C"/>
  </w:style>
  <w:style w:type="character" w:customStyle="1" w:styleId="WW8Num1z5">
    <w:name w:val="WW8Num1z5"/>
    <w:rsid w:val="004D603C"/>
  </w:style>
  <w:style w:type="character" w:customStyle="1" w:styleId="WW8Num1z6">
    <w:name w:val="WW8Num1z6"/>
    <w:rsid w:val="004D603C"/>
  </w:style>
  <w:style w:type="character" w:customStyle="1" w:styleId="WW8Num1z7">
    <w:name w:val="WW8Num1z7"/>
    <w:rsid w:val="004D603C"/>
  </w:style>
  <w:style w:type="character" w:customStyle="1" w:styleId="WW8Num1z8">
    <w:name w:val="WW8Num1z8"/>
    <w:rsid w:val="004D603C"/>
  </w:style>
  <w:style w:type="character" w:customStyle="1" w:styleId="WW8Num2z0">
    <w:name w:val="WW8Num2z0"/>
    <w:rsid w:val="004D603C"/>
  </w:style>
  <w:style w:type="character" w:customStyle="1" w:styleId="WW8Num2z1">
    <w:name w:val="WW8Num2z1"/>
    <w:rsid w:val="004D603C"/>
    <w:rPr>
      <w:rFonts w:cs="Times New Roman"/>
    </w:rPr>
  </w:style>
  <w:style w:type="character" w:customStyle="1" w:styleId="WW8Num2z4">
    <w:name w:val="WW8Num2z4"/>
    <w:rsid w:val="004D603C"/>
  </w:style>
  <w:style w:type="character" w:customStyle="1" w:styleId="WW8Num2z5">
    <w:name w:val="WW8Num2z5"/>
    <w:rsid w:val="004D603C"/>
  </w:style>
  <w:style w:type="character" w:customStyle="1" w:styleId="WW8Num2z6">
    <w:name w:val="WW8Num2z6"/>
    <w:rsid w:val="004D603C"/>
  </w:style>
  <w:style w:type="character" w:customStyle="1" w:styleId="WW8Num2z7">
    <w:name w:val="WW8Num2z7"/>
    <w:qFormat/>
    <w:rsid w:val="004D603C"/>
  </w:style>
  <w:style w:type="character" w:customStyle="1" w:styleId="WW8Num2z8">
    <w:name w:val="WW8Num2z8"/>
    <w:rsid w:val="004D603C"/>
  </w:style>
  <w:style w:type="character" w:customStyle="1" w:styleId="WW8Num3z0">
    <w:name w:val="WW8Num3z0"/>
    <w:qFormat/>
    <w:rsid w:val="004D603C"/>
  </w:style>
  <w:style w:type="character" w:customStyle="1" w:styleId="WW8Num3z1">
    <w:name w:val="WW8Num3z1"/>
    <w:qFormat/>
    <w:rsid w:val="004D603C"/>
  </w:style>
  <w:style w:type="character" w:customStyle="1" w:styleId="WW8Num3z2">
    <w:name w:val="WW8Num3z2"/>
    <w:qFormat/>
    <w:rsid w:val="004D603C"/>
  </w:style>
  <w:style w:type="character" w:customStyle="1" w:styleId="WW8Num3z3">
    <w:name w:val="WW8Num3z3"/>
    <w:qFormat/>
    <w:rsid w:val="004D603C"/>
  </w:style>
  <w:style w:type="character" w:customStyle="1" w:styleId="WW8Num3z4">
    <w:name w:val="WW8Num3z4"/>
    <w:rsid w:val="004D603C"/>
  </w:style>
  <w:style w:type="character" w:customStyle="1" w:styleId="WW8Num3z5">
    <w:name w:val="WW8Num3z5"/>
    <w:rsid w:val="004D603C"/>
  </w:style>
  <w:style w:type="character" w:customStyle="1" w:styleId="WW8Num3z6">
    <w:name w:val="WW8Num3z6"/>
    <w:qFormat/>
    <w:rsid w:val="004D603C"/>
  </w:style>
  <w:style w:type="character" w:customStyle="1" w:styleId="WW8Num3z7">
    <w:name w:val="WW8Num3z7"/>
    <w:qFormat/>
    <w:rsid w:val="004D603C"/>
  </w:style>
  <w:style w:type="character" w:customStyle="1" w:styleId="WW8Num3z8">
    <w:name w:val="WW8Num3z8"/>
    <w:rsid w:val="004D603C"/>
  </w:style>
  <w:style w:type="character" w:customStyle="1" w:styleId="WW8Num4z0">
    <w:name w:val="WW8Num4z0"/>
    <w:qFormat/>
    <w:rsid w:val="004D603C"/>
  </w:style>
  <w:style w:type="character" w:customStyle="1" w:styleId="WW8Num4z1">
    <w:name w:val="WW8Num4z1"/>
    <w:qFormat/>
    <w:rsid w:val="004D603C"/>
  </w:style>
  <w:style w:type="character" w:customStyle="1" w:styleId="WW8Num4z2">
    <w:name w:val="WW8Num4z2"/>
    <w:rsid w:val="004D603C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4D603C"/>
  </w:style>
  <w:style w:type="character" w:customStyle="1" w:styleId="WW8Num4z4">
    <w:name w:val="WW8Num4z4"/>
    <w:rsid w:val="004D603C"/>
  </w:style>
  <w:style w:type="character" w:customStyle="1" w:styleId="WW8Num4z5">
    <w:name w:val="WW8Num4z5"/>
    <w:rsid w:val="004D603C"/>
  </w:style>
  <w:style w:type="character" w:customStyle="1" w:styleId="WW8Num4z6">
    <w:name w:val="WW8Num4z6"/>
    <w:qFormat/>
    <w:rsid w:val="004D603C"/>
  </w:style>
  <w:style w:type="character" w:customStyle="1" w:styleId="WW8Num4z7">
    <w:name w:val="WW8Num4z7"/>
    <w:rsid w:val="004D603C"/>
  </w:style>
  <w:style w:type="character" w:customStyle="1" w:styleId="WW8Num4z8">
    <w:name w:val="WW8Num4z8"/>
    <w:rsid w:val="004D603C"/>
  </w:style>
  <w:style w:type="character" w:customStyle="1" w:styleId="12">
    <w:name w:val="Основной шрифт абзаца1"/>
    <w:rsid w:val="004D603C"/>
  </w:style>
  <w:style w:type="character" w:customStyle="1" w:styleId="30">
    <w:name w:val="Основной текст 3 Знак"/>
    <w:qFormat/>
    <w:rsid w:val="004D603C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4D603C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4D603C"/>
    <w:rPr>
      <w:sz w:val="24"/>
      <w:szCs w:val="24"/>
    </w:rPr>
  </w:style>
  <w:style w:type="character" w:customStyle="1" w:styleId="31">
    <w:name w:val="Заголовок 3 Знак"/>
    <w:qFormat/>
    <w:rsid w:val="004D603C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4D603C"/>
  </w:style>
  <w:style w:type="character" w:customStyle="1" w:styleId="af9">
    <w:name w:val="Символ сноски"/>
    <w:qFormat/>
    <w:rsid w:val="004D603C"/>
    <w:rPr>
      <w:vertAlign w:val="superscript"/>
    </w:rPr>
  </w:style>
  <w:style w:type="character" w:customStyle="1" w:styleId="afa">
    <w:name w:val="Символы концевой сноски"/>
    <w:qFormat/>
    <w:rsid w:val="004D603C"/>
    <w:rPr>
      <w:vertAlign w:val="superscript"/>
    </w:rPr>
  </w:style>
  <w:style w:type="character" w:customStyle="1" w:styleId="WW-">
    <w:name w:val="WW-Символы концевой сноски"/>
    <w:rsid w:val="004D603C"/>
  </w:style>
  <w:style w:type="character" w:customStyle="1" w:styleId="13">
    <w:name w:val="Знак сноски1"/>
    <w:qFormat/>
    <w:rsid w:val="004D603C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4D603C"/>
  </w:style>
  <w:style w:type="paragraph" w:customStyle="1" w:styleId="14">
    <w:name w:val="Заголовок1"/>
    <w:basedOn w:val="a"/>
    <w:next w:val="ac"/>
    <w:rsid w:val="004D603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4D603C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4D603C"/>
    <w:pPr>
      <w:suppressLineNumbers/>
    </w:pPr>
    <w:rPr>
      <w:rFonts w:cs="Mangal"/>
    </w:rPr>
  </w:style>
  <w:style w:type="paragraph" w:customStyle="1" w:styleId="ConsPlusNonformat">
    <w:name w:val="ConsPlusNonformat"/>
    <w:rsid w:val="004D603C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4D603C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4D603C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4D603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4D603C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4D60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4D603C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4D603C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4D603C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4D603C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4D603C"/>
    <w:pPr>
      <w:suppressLineNumbers/>
    </w:pPr>
  </w:style>
  <w:style w:type="paragraph" w:customStyle="1" w:styleId="afe">
    <w:name w:val="Заголовок таблицы"/>
    <w:basedOn w:val="afd"/>
    <w:rsid w:val="004D603C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4D603C"/>
    <w:rPr>
      <w:color w:val="00000A"/>
      <w:sz w:val="20"/>
      <w:szCs w:val="20"/>
      <w:lang w:val="en-US"/>
    </w:rPr>
  </w:style>
  <w:style w:type="paragraph" w:customStyle="1" w:styleId="18">
    <w:name w:val="Обычный1"/>
    <w:rsid w:val="004D603C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4D603C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4D603C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4D603C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4D603C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4D603C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4D603C"/>
    <w:rPr>
      <w:color w:val="808080"/>
    </w:rPr>
  </w:style>
  <w:style w:type="paragraph" w:styleId="aff0">
    <w:name w:val="List Paragraph"/>
    <w:basedOn w:val="a"/>
    <w:uiPriority w:val="34"/>
    <w:qFormat/>
    <w:rsid w:val="004D603C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4D603C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4D603C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4D603C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4D603C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4D603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D603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4D603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4D603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4D603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D603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4D603C"/>
    <w:rPr>
      <w:b/>
    </w:rPr>
  </w:style>
  <w:style w:type="character" w:customStyle="1" w:styleId="1a">
    <w:name w:val="Заголовок таблицы1 Знак"/>
    <w:basedOn w:val="a0"/>
    <w:link w:val="19"/>
    <w:rsid w:val="004D603C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4D603C"/>
  </w:style>
  <w:style w:type="character" w:customStyle="1" w:styleId="aff2">
    <w:name w:val="Тест таблицы Знак"/>
    <w:basedOn w:val="a0"/>
    <w:link w:val="aff1"/>
    <w:rsid w:val="004D603C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4D603C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4D603C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4D603C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FF5468-635A-4A9B-BC35-45268F008F1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2021-12-08T08:55:00Z</dcterms:created>
  <dcterms:modified xsi:type="dcterms:W3CDTF">2021-12-08T08:55:00Z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