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0" w:type="dxa"/>
        <w:tblLayout w:type="fixed"/>
        <w:tblLook w:val="04A0" w:firstRow="1" w:lastRow="0" w:firstColumn="1" w:lastColumn="0" w:noHBand="0" w:noVBand="1"/>
      </w:tblPr>
      <w:tblGrid>
        <w:gridCol w:w="2227"/>
        <w:gridCol w:w="3160"/>
        <w:gridCol w:w="4403"/>
      </w:tblGrid>
      <w:tr w:rsidR="00A917F7" w:rsidRPr="00FC51E0" w:rsidTr="00FB71C7">
        <w:trPr>
          <w:trHeight w:val="2144"/>
        </w:trPr>
        <w:tc>
          <w:tcPr>
            <w:tcW w:w="2227" w:type="dxa"/>
            <w:shd w:val="clear" w:color="auto" w:fill="auto"/>
          </w:tcPr>
          <w:p w:rsidR="00A917F7" w:rsidRPr="00240BAF" w:rsidRDefault="00A917F7" w:rsidP="00AB7158">
            <w:pPr>
              <w:widowControl w:val="0"/>
              <w:suppressLineNumbers/>
              <w:suppressAutoHyphens/>
            </w:pPr>
          </w:p>
        </w:tc>
        <w:tc>
          <w:tcPr>
            <w:tcW w:w="3160" w:type="dxa"/>
            <w:shd w:val="clear" w:color="auto" w:fill="auto"/>
          </w:tcPr>
          <w:p w:rsidR="00A917F7" w:rsidRPr="00EA7852" w:rsidRDefault="00A917F7" w:rsidP="00AB7158">
            <w:pPr>
              <w:widowControl w:val="0"/>
              <w:suppressLineNumbers/>
              <w:suppressAutoHyphens/>
            </w:pPr>
          </w:p>
        </w:tc>
        <w:tc>
          <w:tcPr>
            <w:tcW w:w="4403" w:type="dxa"/>
            <w:shd w:val="clear" w:color="auto" w:fill="auto"/>
          </w:tcPr>
          <w:p w:rsidR="007D5F25" w:rsidRDefault="007D5F25" w:rsidP="00772669">
            <w:pPr>
              <w:jc w:val="right"/>
              <w:rPr>
                <w:b/>
                <w:sz w:val="22"/>
                <w:szCs w:val="22"/>
                <w:lang w:eastAsia="en-US"/>
              </w:rPr>
            </w:pPr>
          </w:p>
          <w:p w:rsidR="007D5F25" w:rsidRDefault="007D5F25" w:rsidP="00772669">
            <w:pPr>
              <w:jc w:val="right"/>
              <w:rPr>
                <w:b/>
                <w:sz w:val="22"/>
                <w:szCs w:val="22"/>
                <w:lang w:eastAsia="en-US"/>
              </w:rPr>
            </w:pPr>
          </w:p>
          <w:p w:rsidR="00C108E6" w:rsidRPr="00C108E6" w:rsidRDefault="00C108E6" w:rsidP="00C108E6">
            <w:pPr>
              <w:jc w:val="right"/>
              <w:rPr>
                <w:b/>
                <w:sz w:val="22"/>
                <w:szCs w:val="22"/>
                <w:lang w:eastAsia="en-US"/>
              </w:rPr>
            </w:pPr>
            <w:r w:rsidRPr="00C108E6">
              <w:rPr>
                <w:b/>
                <w:sz w:val="22"/>
                <w:szCs w:val="22"/>
                <w:lang w:eastAsia="en-US"/>
              </w:rPr>
              <w:t>«УТВЕРЖДАЮ</w:t>
            </w:r>
          </w:p>
          <w:p w:rsidR="00C108E6" w:rsidRPr="00C108E6" w:rsidRDefault="00C108E6" w:rsidP="00C108E6">
            <w:pPr>
              <w:jc w:val="right"/>
              <w:rPr>
                <w:b/>
                <w:sz w:val="22"/>
                <w:szCs w:val="22"/>
                <w:lang w:eastAsia="en-US"/>
              </w:rPr>
            </w:pPr>
            <w:r w:rsidRPr="00C108E6">
              <w:rPr>
                <w:b/>
                <w:sz w:val="22"/>
                <w:szCs w:val="22"/>
                <w:lang w:eastAsia="en-US"/>
              </w:rPr>
              <w:t xml:space="preserve">И.о. директора Муниципального Автономного Общеобразовательного Учреждения Селятинская средняя общеобразовательная школа №1  </w:t>
            </w:r>
          </w:p>
          <w:p w:rsidR="00C108E6" w:rsidRPr="00C108E6" w:rsidRDefault="00C108E6" w:rsidP="00C108E6">
            <w:pPr>
              <w:jc w:val="right"/>
              <w:rPr>
                <w:b/>
                <w:sz w:val="22"/>
                <w:szCs w:val="22"/>
                <w:lang w:eastAsia="en-US"/>
              </w:rPr>
            </w:pPr>
          </w:p>
          <w:p w:rsidR="00C108E6" w:rsidRPr="00C108E6" w:rsidRDefault="00C108E6" w:rsidP="00C108E6">
            <w:pPr>
              <w:jc w:val="right"/>
              <w:rPr>
                <w:b/>
                <w:sz w:val="22"/>
                <w:szCs w:val="22"/>
                <w:lang w:eastAsia="en-US"/>
              </w:rPr>
            </w:pPr>
          </w:p>
          <w:p w:rsidR="00C108E6" w:rsidRPr="00C108E6" w:rsidRDefault="00C108E6" w:rsidP="00C108E6">
            <w:pPr>
              <w:jc w:val="right"/>
              <w:rPr>
                <w:b/>
                <w:sz w:val="22"/>
                <w:szCs w:val="22"/>
                <w:lang w:eastAsia="en-US"/>
              </w:rPr>
            </w:pPr>
            <w:r w:rsidRPr="00C108E6">
              <w:rPr>
                <w:b/>
                <w:sz w:val="22"/>
                <w:szCs w:val="22"/>
                <w:lang w:eastAsia="en-US"/>
              </w:rPr>
              <w:t>________________ А.А. Некрасов</w:t>
            </w:r>
          </w:p>
          <w:p w:rsidR="00C108E6" w:rsidRDefault="00C108E6" w:rsidP="00C108E6">
            <w:pPr>
              <w:jc w:val="right"/>
              <w:rPr>
                <w:b/>
                <w:sz w:val="22"/>
                <w:szCs w:val="22"/>
                <w:lang w:eastAsia="en-US"/>
              </w:rPr>
            </w:pPr>
            <w:r w:rsidRPr="00C108E6">
              <w:rPr>
                <w:b/>
                <w:sz w:val="22"/>
                <w:szCs w:val="22"/>
                <w:lang w:eastAsia="en-US"/>
              </w:rPr>
              <w:tab/>
              <w:t xml:space="preserve">                                            </w:t>
            </w:r>
          </w:p>
          <w:p w:rsidR="00C108E6" w:rsidRPr="00C108E6" w:rsidRDefault="00C108E6" w:rsidP="00C108E6">
            <w:pPr>
              <w:jc w:val="right"/>
              <w:rPr>
                <w:b/>
                <w:sz w:val="22"/>
                <w:szCs w:val="22"/>
                <w:lang w:eastAsia="en-US"/>
              </w:rPr>
            </w:pPr>
            <w:r w:rsidRPr="00C108E6">
              <w:rPr>
                <w:b/>
                <w:sz w:val="22"/>
                <w:szCs w:val="22"/>
                <w:lang w:eastAsia="en-US"/>
              </w:rPr>
              <w:t xml:space="preserve"> «06» июля 2020 г.</w:t>
            </w:r>
          </w:p>
          <w:p w:rsidR="00A917F7" w:rsidRDefault="00C108E6" w:rsidP="00C108E6">
            <w:pPr>
              <w:widowControl w:val="0"/>
              <w:suppressLineNumbers/>
              <w:tabs>
                <w:tab w:val="left" w:pos="1080"/>
                <w:tab w:val="right" w:pos="4462"/>
              </w:tabs>
              <w:suppressAutoHyphens/>
              <w:spacing w:line="256" w:lineRule="auto"/>
              <w:rPr>
                <w:b/>
                <w:lang w:eastAsia="en-US"/>
              </w:rPr>
            </w:pPr>
            <w:r w:rsidRPr="00C108E6">
              <w:rPr>
                <w:b/>
                <w:sz w:val="22"/>
                <w:szCs w:val="22"/>
                <w:lang w:eastAsia="en-US"/>
              </w:rPr>
              <w:t xml:space="preserve">                    м.п.    </w:t>
            </w:r>
          </w:p>
        </w:tc>
      </w:tr>
      <w:tr w:rsidR="00A917F7" w:rsidRPr="00FC51E0" w:rsidTr="00FB71C7">
        <w:trPr>
          <w:trHeight w:val="224"/>
        </w:trPr>
        <w:tc>
          <w:tcPr>
            <w:tcW w:w="2227" w:type="dxa"/>
            <w:shd w:val="clear" w:color="auto" w:fill="auto"/>
          </w:tcPr>
          <w:p w:rsidR="00A917F7" w:rsidRPr="00FC51E0" w:rsidRDefault="00A917F7" w:rsidP="00AB7158">
            <w:pPr>
              <w:widowControl w:val="0"/>
              <w:suppressLineNumbers/>
              <w:suppressAutoHyphens/>
              <w:rPr>
                <w:b/>
              </w:rPr>
            </w:pPr>
          </w:p>
        </w:tc>
        <w:tc>
          <w:tcPr>
            <w:tcW w:w="3160" w:type="dxa"/>
            <w:shd w:val="clear" w:color="auto" w:fill="auto"/>
          </w:tcPr>
          <w:p w:rsidR="00A917F7" w:rsidRPr="00EA7852" w:rsidRDefault="00A917F7" w:rsidP="00AB7158">
            <w:pPr>
              <w:widowControl w:val="0"/>
              <w:suppressLineNumbers/>
              <w:suppressAutoHyphens/>
            </w:pPr>
          </w:p>
        </w:tc>
        <w:tc>
          <w:tcPr>
            <w:tcW w:w="4403" w:type="dxa"/>
            <w:shd w:val="clear" w:color="auto" w:fill="auto"/>
          </w:tcPr>
          <w:p w:rsidR="00A917F7" w:rsidRPr="00EA7852" w:rsidRDefault="00A917F7" w:rsidP="00AB7158">
            <w:pPr>
              <w:widowControl w:val="0"/>
              <w:suppressLineNumbers/>
              <w:suppressAutoHyphens/>
              <w:jc w:val="right"/>
              <w:rPr>
                <w:b/>
              </w:rPr>
            </w:pPr>
          </w:p>
        </w:tc>
      </w:tr>
      <w:tr w:rsidR="00A917F7" w:rsidRPr="00FC51E0" w:rsidTr="00FB71C7">
        <w:trPr>
          <w:trHeight w:val="420"/>
        </w:trPr>
        <w:tc>
          <w:tcPr>
            <w:tcW w:w="2227" w:type="dxa"/>
            <w:shd w:val="clear" w:color="auto" w:fill="auto"/>
          </w:tcPr>
          <w:p w:rsidR="00A917F7" w:rsidRPr="00D3412C" w:rsidRDefault="00A917F7" w:rsidP="00AB7158">
            <w:pPr>
              <w:widowControl w:val="0"/>
              <w:suppressLineNumbers/>
              <w:suppressAutoHyphens/>
            </w:pPr>
          </w:p>
        </w:tc>
        <w:tc>
          <w:tcPr>
            <w:tcW w:w="3160" w:type="dxa"/>
            <w:shd w:val="clear" w:color="auto" w:fill="auto"/>
          </w:tcPr>
          <w:p w:rsidR="00A917F7" w:rsidRPr="00FC51E0" w:rsidRDefault="00A917F7" w:rsidP="00AB7158">
            <w:pPr>
              <w:widowControl w:val="0"/>
              <w:suppressLineNumbers/>
              <w:suppressAutoHyphens/>
            </w:pPr>
          </w:p>
        </w:tc>
        <w:tc>
          <w:tcPr>
            <w:tcW w:w="4403" w:type="dxa"/>
            <w:shd w:val="clear" w:color="auto" w:fill="auto"/>
          </w:tcPr>
          <w:p w:rsidR="00A917F7" w:rsidRPr="00FC51E0" w:rsidRDefault="00A917F7" w:rsidP="00AB7158">
            <w:pPr>
              <w:widowControl w:val="0"/>
              <w:suppressLineNumbers/>
              <w:suppressAutoHyphens/>
            </w:pPr>
          </w:p>
          <w:p w:rsidR="00A917F7" w:rsidRPr="00D3412C" w:rsidRDefault="00A917F7" w:rsidP="00AB7158">
            <w:pPr>
              <w:widowControl w:val="0"/>
              <w:suppressLineNumbers/>
              <w:suppressAutoHyphens/>
              <w:jc w:val="right"/>
            </w:pPr>
          </w:p>
        </w:tc>
      </w:tr>
    </w:tbl>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Default="002D7F9F" w:rsidP="002D7F9F">
      <w:pPr>
        <w:jc w:val="center"/>
        <w:rPr>
          <w:sz w:val="24"/>
          <w:szCs w:val="24"/>
        </w:rPr>
      </w:pPr>
    </w:p>
    <w:p w:rsidR="002D7F9F" w:rsidRPr="000B0C1C" w:rsidRDefault="00050092" w:rsidP="002D7F9F">
      <w:pPr>
        <w:jc w:val="center"/>
        <w:rPr>
          <w:b/>
          <w:sz w:val="28"/>
          <w:szCs w:val="28"/>
        </w:rPr>
      </w:pPr>
      <w:r>
        <w:rPr>
          <w:b/>
          <w:sz w:val="28"/>
          <w:szCs w:val="28"/>
        </w:rPr>
        <w:t>ДОКУМЕНТАЦИЯ</w:t>
      </w:r>
    </w:p>
    <w:p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rsidR="002D7F9F" w:rsidRDefault="002D7F9F" w:rsidP="00525AB3">
      <w:pPr>
        <w:jc w:val="center"/>
        <w:rPr>
          <w:b/>
          <w:sz w:val="24"/>
          <w:szCs w:val="24"/>
        </w:rPr>
      </w:pPr>
      <w:r w:rsidRPr="000B0C1C">
        <w:rPr>
          <w:b/>
          <w:sz w:val="24"/>
          <w:szCs w:val="24"/>
        </w:rPr>
        <w:t>в электронной форме</w:t>
      </w:r>
    </w:p>
    <w:p w:rsidR="007042E8" w:rsidRPr="00525AB3" w:rsidRDefault="007042E8" w:rsidP="00525AB3">
      <w:pPr>
        <w:jc w:val="center"/>
        <w:rPr>
          <w:b/>
          <w:sz w:val="24"/>
          <w:szCs w:val="24"/>
        </w:rPr>
      </w:pPr>
    </w:p>
    <w:p w:rsidR="007B23FE" w:rsidRPr="00E2468E" w:rsidRDefault="000A0093" w:rsidP="00C108E6">
      <w:pPr>
        <w:jc w:val="center"/>
        <w:rPr>
          <w:b/>
          <w:i/>
          <w:spacing w:val="-2"/>
          <w:sz w:val="22"/>
          <w:szCs w:val="22"/>
        </w:rPr>
      </w:pPr>
      <w:r w:rsidRPr="00552113">
        <w:rPr>
          <w:b/>
          <w:i/>
          <w:spacing w:val="-2"/>
          <w:sz w:val="22"/>
          <w:szCs w:val="22"/>
        </w:rPr>
        <w:t>Оказание усл</w:t>
      </w:r>
      <w:r w:rsidR="00C108E6">
        <w:rPr>
          <w:b/>
          <w:i/>
          <w:spacing w:val="-2"/>
          <w:sz w:val="22"/>
          <w:szCs w:val="22"/>
        </w:rPr>
        <w:t xml:space="preserve">уг по организации </w:t>
      </w:r>
      <w:r w:rsidRPr="00552113">
        <w:rPr>
          <w:b/>
          <w:i/>
          <w:spacing w:val="-2"/>
          <w:sz w:val="22"/>
          <w:szCs w:val="22"/>
        </w:rPr>
        <w:t xml:space="preserve">горячего питания </w:t>
      </w:r>
    </w:p>
    <w:p w:rsidR="007B23FE" w:rsidRDefault="007B23FE" w:rsidP="00A917F7">
      <w:pPr>
        <w:jc w:val="center"/>
        <w:rPr>
          <w:rFonts w:cs="Arial Unicode MS"/>
          <w:b/>
          <w:color w:val="000000"/>
          <w:spacing w:val="-2"/>
          <w:sz w:val="24"/>
          <w:szCs w:val="24"/>
        </w:rPr>
      </w:pPr>
    </w:p>
    <w:p w:rsidR="007B23FE" w:rsidRPr="00A917F7" w:rsidRDefault="007B23FE" w:rsidP="00A917F7">
      <w:pPr>
        <w:jc w:val="center"/>
        <w:rPr>
          <w:rFonts w:cs="Arial Unicode MS"/>
          <w:b/>
          <w:color w:val="000000"/>
          <w:spacing w:val="-2"/>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2D7F9F">
      <w:pPr>
        <w:jc w:val="center"/>
        <w:rPr>
          <w:b/>
          <w:sz w:val="24"/>
          <w:szCs w:val="24"/>
        </w:rPr>
      </w:pPr>
    </w:p>
    <w:p w:rsidR="002D7F9F" w:rsidRDefault="002D7F9F" w:rsidP="00A917F7">
      <w:pPr>
        <w:rPr>
          <w:b/>
          <w:sz w:val="24"/>
          <w:szCs w:val="24"/>
        </w:rPr>
      </w:pPr>
    </w:p>
    <w:p w:rsidR="002D7F9F" w:rsidRDefault="002D7F9F" w:rsidP="002D7F9F">
      <w:pPr>
        <w:autoSpaceDE/>
        <w:autoSpaceDN/>
        <w:spacing w:after="60"/>
        <w:jc w:val="center"/>
        <w:rPr>
          <w:b/>
          <w:sz w:val="24"/>
          <w:szCs w:val="24"/>
        </w:rPr>
      </w:pPr>
    </w:p>
    <w:p w:rsidR="002D7F9F" w:rsidRDefault="002D7F9F" w:rsidP="002D7F9F">
      <w:pPr>
        <w:autoSpaceDE/>
        <w:autoSpaceDN/>
        <w:spacing w:after="60"/>
        <w:jc w:val="center"/>
        <w:rPr>
          <w:b/>
          <w:sz w:val="24"/>
          <w:szCs w:val="24"/>
        </w:rPr>
      </w:pPr>
    </w:p>
    <w:p w:rsidR="002D7F9F" w:rsidRDefault="002D7F9F" w:rsidP="002D7F9F">
      <w:pPr>
        <w:autoSpaceDE/>
        <w:autoSpaceDN/>
        <w:spacing w:after="60"/>
        <w:jc w:val="center"/>
        <w:rPr>
          <w:b/>
          <w:sz w:val="24"/>
          <w:szCs w:val="24"/>
        </w:rPr>
      </w:pPr>
    </w:p>
    <w:p w:rsidR="008F4301" w:rsidRDefault="008F4301" w:rsidP="002D7F9F">
      <w:pPr>
        <w:autoSpaceDE/>
        <w:autoSpaceDN/>
        <w:spacing w:after="60"/>
        <w:jc w:val="center"/>
        <w:rPr>
          <w:b/>
          <w:sz w:val="24"/>
          <w:szCs w:val="24"/>
        </w:rPr>
      </w:pPr>
    </w:p>
    <w:p w:rsidR="008F4301" w:rsidRDefault="008F4301" w:rsidP="002D7F9F">
      <w:pPr>
        <w:autoSpaceDE/>
        <w:autoSpaceDN/>
        <w:spacing w:after="60"/>
        <w:jc w:val="center"/>
        <w:rPr>
          <w:b/>
          <w:sz w:val="24"/>
          <w:szCs w:val="24"/>
        </w:rPr>
      </w:pPr>
    </w:p>
    <w:p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rsidR="00E05C53" w:rsidRDefault="00E05C53" w:rsidP="00E05C53"/>
    <w:p w:rsidR="000A30DA" w:rsidRDefault="000A30DA" w:rsidP="00E05C53"/>
    <w:p w:rsidR="00E26E08" w:rsidRDefault="00E26E08" w:rsidP="00E05C53"/>
    <w:p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rsidR="00E05C53" w:rsidRDefault="00E05C53" w:rsidP="00E05C53">
      <w:pPr>
        <w:keepNext/>
        <w:keepLines/>
        <w:suppressLineNumbers/>
        <w:tabs>
          <w:tab w:val="left" w:pos="708"/>
        </w:tabs>
        <w:suppressAutoHyphens/>
      </w:pPr>
    </w:p>
    <w:p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E2468E" w:rsidRDefault="00E2468E" w:rsidP="007C7471">
      <w:pPr>
        <w:tabs>
          <w:tab w:val="left" w:pos="708"/>
        </w:tabs>
        <w:adjustRightInd w:val="0"/>
        <w:spacing w:line="276" w:lineRule="auto"/>
        <w:ind w:firstLine="540"/>
        <w:jc w:val="both"/>
        <w:rPr>
          <w:spacing w:val="-2"/>
          <w:sz w:val="22"/>
          <w:szCs w:val="22"/>
        </w:rPr>
      </w:pPr>
    </w:p>
    <w:p w:rsidR="00E2468E" w:rsidRDefault="00E2468E" w:rsidP="007C7471">
      <w:pPr>
        <w:tabs>
          <w:tab w:val="left" w:pos="708"/>
        </w:tabs>
        <w:adjustRightInd w:val="0"/>
        <w:spacing w:line="276" w:lineRule="auto"/>
        <w:ind w:firstLine="540"/>
        <w:jc w:val="both"/>
        <w:rPr>
          <w:spacing w:val="-2"/>
          <w:sz w:val="22"/>
          <w:szCs w:val="22"/>
        </w:rPr>
      </w:pPr>
    </w:p>
    <w:p w:rsidR="00E2468E" w:rsidRDefault="00E2468E" w:rsidP="007C7471">
      <w:pPr>
        <w:tabs>
          <w:tab w:val="left" w:pos="708"/>
        </w:tabs>
        <w:adjustRightInd w:val="0"/>
        <w:spacing w:line="276" w:lineRule="auto"/>
        <w:ind w:firstLine="540"/>
        <w:jc w:val="both"/>
        <w:rPr>
          <w:spacing w:val="-2"/>
          <w:sz w:val="22"/>
          <w:szCs w:val="22"/>
        </w:rPr>
      </w:pPr>
    </w:p>
    <w:p w:rsidR="00C108E6" w:rsidRDefault="00C108E6" w:rsidP="007C7471">
      <w:pPr>
        <w:tabs>
          <w:tab w:val="left" w:pos="708"/>
        </w:tabs>
        <w:adjustRightInd w:val="0"/>
        <w:spacing w:line="276" w:lineRule="auto"/>
        <w:ind w:firstLine="540"/>
        <w:jc w:val="both"/>
        <w:rPr>
          <w:spacing w:val="-2"/>
          <w:sz w:val="22"/>
          <w:szCs w:val="22"/>
        </w:rPr>
      </w:pPr>
    </w:p>
    <w:p w:rsidR="008F4301" w:rsidRDefault="008F4301" w:rsidP="007C7471">
      <w:pPr>
        <w:tabs>
          <w:tab w:val="left" w:pos="708"/>
        </w:tabs>
        <w:adjustRightInd w:val="0"/>
        <w:spacing w:line="276" w:lineRule="auto"/>
        <w:ind w:firstLine="540"/>
        <w:jc w:val="both"/>
        <w:rPr>
          <w:spacing w:val="-2"/>
          <w:sz w:val="22"/>
          <w:szCs w:val="22"/>
        </w:rPr>
      </w:pPr>
    </w:p>
    <w:p w:rsidR="008F4301" w:rsidRPr="007C7471" w:rsidRDefault="008F4301" w:rsidP="007C7471">
      <w:pPr>
        <w:tabs>
          <w:tab w:val="left" w:pos="708"/>
        </w:tabs>
        <w:adjustRightInd w:val="0"/>
        <w:spacing w:line="276" w:lineRule="auto"/>
        <w:ind w:firstLine="540"/>
        <w:jc w:val="both"/>
        <w:rPr>
          <w:sz w:val="22"/>
          <w:szCs w:val="22"/>
        </w:rPr>
      </w:pPr>
    </w:p>
    <w:bookmarkEnd w:id="0"/>
    <w:p w:rsidR="007C7471" w:rsidRDefault="007C7471" w:rsidP="00E05C53">
      <w:pPr>
        <w:adjustRightInd w:val="0"/>
        <w:jc w:val="center"/>
        <w:outlineLvl w:val="1"/>
      </w:pPr>
    </w:p>
    <w:p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rsidR="00E05C53" w:rsidRPr="00E05C53" w:rsidRDefault="00E05C53" w:rsidP="007C4C5E">
      <w:pPr>
        <w:ind w:firstLine="709"/>
        <w:jc w:val="center"/>
        <w:rPr>
          <w:b/>
          <w:sz w:val="22"/>
          <w:szCs w:val="22"/>
        </w:rPr>
      </w:pPr>
    </w:p>
    <w:p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0112E0" w:rsidRDefault="000112E0" w:rsidP="009301A8">
      <w:pPr>
        <w:adjustRightInd w:val="0"/>
        <w:ind w:firstLine="709"/>
        <w:jc w:val="both"/>
        <w:outlineLvl w:val="3"/>
        <w:rPr>
          <w:sz w:val="22"/>
          <w:szCs w:val="22"/>
        </w:rPr>
      </w:pPr>
    </w:p>
    <w:p w:rsidR="008F4301" w:rsidRPr="00EC1178" w:rsidRDefault="008F4301" w:rsidP="009301A8">
      <w:pPr>
        <w:adjustRightInd w:val="0"/>
        <w:ind w:firstLine="709"/>
        <w:jc w:val="both"/>
        <w:outlineLvl w:val="3"/>
        <w:rPr>
          <w:sz w:val="22"/>
          <w:szCs w:val="22"/>
        </w:rPr>
      </w:pPr>
    </w:p>
    <w:p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rsidR="00E05C53" w:rsidRPr="00E05C53" w:rsidRDefault="00E05C53" w:rsidP="00C66B39">
      <w:pPr>
        <w:adjustRightInd w:val="0"/>
        <w:outlineLvl w:val="3"/>
        <w:rPr>
          <w:b/>
          <w:sz w:val="22"/>
          <w:szCs w:val="22"/>
        </w:rPr>
      </w:pPr>
    </w:p>
    <w:p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rsidR="000112E0" w:rsidRDefault="000112E0" w:rsidP="00B705B1">
      <w:pPr>
        <w:adjustRightInd w:val="0"/>
        <w:outlineLvl w:val="3"/>
        <w:rPr>
          <w:sz w:val="22"/>
          <w:szCs w:val="22"/>
        </w:rPr>
      </w:pPr>
    </w:p>
    <w:p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rsidR="001428FF" w:rsidRDefault="001428FF" w:rsidP="001428FF">
      <w:pPr>
        <w:adjustRightInd w:val="0"/>
        <w:jc w:val="both"/>
        <w:outlineLvl w:val="3"/>
        <w:rPr>
          <w:sz w:val="22"/>
          <w:szCs w:val="22"/>
        </w:rPr>
      </w:pPr>
    </w:p>
    <w:p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rsidR="00B705B1" w:rsidRPr="00B705B1" w:rsidRDefault="00B705B1" w:rsidP="00B705B1">
      <w:pPr>
        <w:pStyle w:val="ConsPlusNormal"/>
        <w:jc w:val="both"/>
        <w:rPr>
          <w:rFonts w:ascii="Times New Roman" w:hAnsi="Times New Roman"/>
          <w:szCs w:val="22"/>
        </w:rPr>
      </w:pPr>
    </w:p>
    <w:p w:rsidR="001428FF" w:rsidRDefault="001428FF" w:rsidP="0021413E">
      <w:pPr>
        <w:ind w:firstLine="709"/>
        <w:jc w:val="both"/>
        <w:rPr>
          <w:color w:val="000000"/>
          <w:sz w:val="22"/>
          <w:szCs w:val="22"/>
        </w:rPr>
      </w:pPr>
    </w:p>
    <w:p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rsidR="00B705B1" w:rsidRPr="00B705B1" w:rsidRDefault="00B705B1" w:rsidP="00B705B1">
      <w:pPr>
        <w:adjustRightInd w:val="0"/>
        <w:outlineLvl w:val="3"/>
        <w:rPr>
          <w:sz w:val="22"/>
          <w:szCs w:val="22"/>
        </w:rPr>
      </w:pPr>
    </w:p>
    <w:p w:rsidR="000112E0" w:rsidRDefault="000112E0" w:rsidP="009301A8">
      <w:pPr>
        <w:ind w:firstLine="709"/>
        <w:rPr>
          <w:b/>
          <w:sz w:val="22"/>
          <w:szCs w:val="22"/>
        </w:rPr>
      </w:pPr>
    </w:p>
    <w:p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rsidR="006C0757" w:rsidRDefault="006C0757" w:rsidP="003E778A">
      <w:pPr>
        <w:pStyle w:val="ConsPlusNormal"/>
        <w:jc w:val="both"/>
        <w:rPr>
          <w:szCs w:val="22"/>
        </w:rPr>
      </w:pPr>
    </w:p>
    <w:p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rsidR="00F12D5B" w:rsidRDefault="00F12D5B" w:rsidP="00050092">
      <w:pPr>
        <w:ind w:firstLine="709"/>
        <w:jc w:val="both"/>
        <w:rPr>
          <w:color w:val="000000"/>
          <w:sz w:val="22"/>
          <w:szCs w:val="22"/>
        </w:rPr>
      </w:pPr>
    </w:p>
    <w:p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F12D5B" w:rsidRPr="00F12D5B" w:rsidRDefault="00F12D5B" w:rsidP="00F12D5B">
      <w:pPr>
        <w:ind w:firstLine="709"/>
        <w:jc w:val="both"/>
        <w:rPr>
          <w:sz w:val="22"/>
          <w:szCs w:val="22"/>
        </w:rPr>
      </w:pPr>
      <w:r w:rsidRPr="00F12D5B">
        <w:rPr>
          <w:sz w:val="22"/>
          <w:szCs w:val="22"/>
        </w:rPr>
        <w:t>о дате подписания протокола</w:t>
      </w:r>
    </w:p>
    <w:p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rsidR="00F12D5B" w:rsidRPr="00F12D5B" w:rsidRDefault="00F12D5B" w:rsidP="00F12D5B">
      <w:pPr>
        <w:ind w:firstLine="709"/>
        <w:jc w:val="both"/>
        <w:rPr>
          <w:sz w:val="22"/>
          <w:szCs w:val="22"/>
        </w:rPr>
      </w:pPr>
      <w:r w:rsidRPr="00F12D5B">
        <w:rPr>
          <w:sz w:val="22"/>
          <w:szCs w:val="22"/>
        </w:rPr>
        <w:t>о дате подписания протокола;</w:t>
      </w:r>
    </w:p>
    <w:p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rsidR="008F4301" w:rsidRDefault="008F4301" w:rsidP="009301A8">
      <w:pPr>
        <w:ind w:firstLine="709"/>
        <w:rPr>
          <w:b/>
          <w:sz w:val="22"/>
          <w:szCs w:val="22"/>
        </w:rPr>
      </w:pPr>
    </w:p>
    <w:p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rsidR="00AD7556" w:rsidRPr="00AD7556" w:rsidRDefault="00AD7556" w:rsidP="00AD7556">
      <w:pPr>
        <w:pStyle w:val="ConsPlusNormal"/>
        <w:jc w:val="center"/>
        <w:rPr>
          <w:rFonts w:ascii="Times New Roman" w:hAnsi="Times New Roman"/>
          <w:szCs w:val="22"/>
        </w:rPr>
      </w:pPr>
    </w:p>
    <w:p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86432" w:rsidRPr="00486432" w:rsidRDefault="00486432" w:rsidP="00486432">
      <w:pPr>
        <w:ind w:firstLine="709"/>
        <w:jc w:val="both"/>
        <w:rPr>
          <w:sz w:val="22"/>
          <w:szCs w:val="22"/>
        </w:rPr>
      </w:pPr>
      <w:r w:rsidRPr="00486432">
        <w:rPr>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AD7556" w:rsidRDefault="00AD7556" w:rsidP="009301A8">
      <w:pPr>
        <w:ind w:firstLine="709"/>
        <w:rPr>
          <w:b/>
          <w:sz w:val="22"/>
          <w:szCs w:val="22"/>
        </w:rPr>
      </w:pPr>
    </w:p>
    <w:p w:rsidR="00AD7556" w:rsidRDefault="00AD7556" w:rsidP="009301A8">
      <w:pPr>
        <w:ind w:firstLine="709"/>
        <w:rPr>
          <w:b/>
          <w:sz w:val="22"/>
          <w:szCs w:val="22"/>
        </w:rPr>
      </w:pPr>
    </w:p>
    <w:p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rsidR="00C70560" w:rsidRPr="00C70560" w:rsidRDefault="00C70560" w:rsidP="00C70560">
      <w:pPr>
        <w:pStyle w:val="ConsPlusNormal"/>
        <w:ind w:firstLine="709"/>
        <w:jc w:val="center"/>
        <w:rPr>
          <w:rFonts w:ascii="Times New Roman" w:hAnsi="Times New Roman"/>
          <w:sz w:val="24"/>
          <w:szCs w:val="24"/>
        </w:rPr>
      </w:pP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rsidR="008F4301" w:rsidRDefault="008F4301" w:rsidP="000A0093">
      <w:pPr>
        <w:rPr>
          <w:b/>
          <w:sz w:val="22"/>
          <w:szCs w:val="22"/>
        </w:rPr>
      </w:pPr>
    </w:p>
    <w:p w:rsidR="00E876D5" w:rsidRDefault="00E876D5" w:rsidP="000A0093">
      <w:pPr>
        <w:rPr>
          <w:b/>
          <w:sz w:val="22"/>
          <w:szCs w:val="22"/>
        </w:rPr>
      </w:pPr>
    </w:p>
    <w:p w:rsidR="007D5F25" w:rsidRDefault="007D5F25" w:rsidP="000A0093">
      <w:pPr>
        <w:rPr>
          <w:b/>
          <w:sz w:val="22"/>
          <w:szCs w:val="22"/>
        </w:rPr>
      </w:pPr>
    </w:p>
    <w:p w:rsidR="007D5F25" w:rsidRDefault="007D5F25" w:rsidP="000A0093">
      <w:pPr>
        <w:rPr>
          <w:b/>
          <w:sz w:val="22"/>
          <w:szCs w:val="22"/>
        </w:rPr>
      </w:pPr>
    </w:p>
    <w:p w:rsidR="007D5F25" w:rsidRDefault="007D5F25" w:rsidP="000A0093">
      <w:pPr>
        <w:rPr>
          <w:b/>
          <w:sz w:val="22"/>
          <w:szCs w:val="22"/>
        </w:rPr>
      </w:pPr>
    </w:p>
    <w:p w:rsidR="007D5F25" w:rsidRDefault="007D5F25" w:rsidP="000A0093">
      <w:pPr>
        <w:rPr>
          <w:b/>
          <w:sz w:val="22"/>
          <w:szCs w:val="22"/>
        </w:rPr>
      </w:pPr>
    </w:p>
    <w:p w:rsidR="007D5F25" w:rsidRDefault="007D5F25" w:rsidP="000A0093">
      <w:pPr>
        <w:rPr>
          <w:b/>
          <w:sz w:val="22"/>
          <w:szCs w:val="22"/>
        </w:rPr>
      </w:pPr>
    </w:p>
    <w:p w:rsidR="00CD6942" w:rsidRDefault="00CD6942" w:rsidP="00270969">
      <w:pPr>
        <w:rPr>
          <w:b/>
          <w:sz w:val="24"/>
          <w:szCs w:val="24"/>
        </w:rPr>
      </w:pPr>
    </w:p>
    <w:p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rsidTr="008262C3">
        <w:trPr>
          <w:trHeight w:val="700"/>
          <w:tblHeader/>
        </w:trPr>
        <w:tc>
          <w:tcPr>
            <w:tcW w:w="9639" w:type="dxa"/>
            <w:gridSpan w:val="3"/>
            <w:shd w:val="clear" w:color="auto" w:fill="F2F2F2" w:themeFill="background1" w:themeFillShade="F2"/>
            <w:vAlign w:val="center"/>
          </w:tcPr>
          <w:p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rsidTr="008262C3">
        <w:trPr>
          <w:trHeight w:val="20"/>
          <w:tblHeader/>
        </w:trPr>
        <w:tc>
          <w:tcPr>
            <w:tcW w:w="709" w:type="dxa"/>
            <w:shd w:val="clear" w:color="auto" w:fill="auto"/>
            <w:vAlign w:val="center"/>
          </w:tcPr>
          <w:p w:rsidR="00E876D5" w:rsidRPr="00143952" w:rsidRDefault="00E876D5" w:rsidP="008262C3">
            <w:pPr>
              <w:keepLines/>
              <w:widowControl w:val="0"/>
              <w:suppressLineNumbers/>
              <w:suppressAutoHyphens/>
              <w:jc w:val="center"/>
              <w:rPr>
                <w:b/>
                <w:sz w:val="22"/>
                <w:szCs w:val="22"/>
              </w:rPr>
            </w:pPr>
            <w:r w:rsidRPr="00143952">
              <w:rPr>
                <w:b/>
                <w:sz w:val="22"/>
                <w:szCs w:val="22"/>
              </w:rPr>
              <w:t>№</w:t>
            </w:r>
          </w:p>
          <w:p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rsidR="00C108E6" w:rsidRDefault="00C108E6" w:rsidP="00C108E6">
            <w:pPr>
              <w:autoSpaceDE/>
              <w:rPr>
                <w:b/>
                <w:i/>
                <w:sz w:val="22"/>
                <w:szCs w:val="22"/>
              </w:rPr>
            </w:pPr>
            <w:r w:rsidRPr="00552113">
              <w:rPr>
                <w:b/>
                <w:i/>
                <w:sz w:val="22"/>
                <w:szCs w:val="22"/>
              </w:rPr>
              <w:t>Муниципальное автономное общеобразо</w:t>
            </w:r>
            <w:r>
              <w:rPr>
                <w:b/>
                <w:i/>
                <w:sz w:val="22"/>
                <w:szCs w:val="22"/>
              </w:rPr>
              <w:t>вательное учреждение Селятинская</w:t>
            </w:r>
            <w:r w:rsidRPr="00552113">
              <w:rPr>
                <w:b/>
                <w:i/>
                <w:sz w:val="22"/>
                <w:szCs w:val="22"/>
              </w:rPr>
              <w:t xml:space="preserve"> средняя общеобразовательная школа №1</w:t>
            </w:r>
          </w:p>
          <w:p w:rsidR="00C108E6" w:rsidRDefault="00C108E6" w:rsidP="00C108E6">
            <w:pPr>
              <w:tabs>
                <w:tab w:val="num" w:pos="0"/>
              </w:tabs>
              <w:ind w:right="57"/>
              <w:rPr>
                <w:sz w:val="24"/>
                <w:szCs w:val="24"/>
              </w:rPr>
            </w:pPr>
            <w:r>
              <w:rPr>
                <w:b/>
                <w:i/>
                <w:color w:val="000000"/>
                <w:sz w:val="22"/>
                <w:szCs w:val="22"/>
              </w:rPr>
              <w:t>Почтовый адрес:</w:t>
            </w:r>
            <w:r>
              <w:t xml:space="preserve"> </w:t>
            </w:r>
            <w:r>
              <w:rPr>
                <w:sz w:val="24"/>
                <w:szCs w:val="24"/>
              </w:rPr>
              <w:t>143345</w:t>
            </w:r>
            <w:r w:rsidRPr="00552113">
              <w:rPr>
                <w:sz w:val="24"/>
                <w:szCs w:val="24"/>
              </w:rPr>
              <w:t>, М.О.</w:t>
            </w:r>
            <w:r>
              <w:rPr>
                <w:sz w:val="24"/>
                <w:szCs w:val="24"/>
              </w:rPr>
              <w:t>,</w:t>
            </w:r>
            <w:r w:rsidRPr="00552113">
              <w:rPr>
                <w:sz w:val="24"/>
                <w:szCs w:val="24"/>
              </w:rPr>
              <w:t xml:space="preserve"> Н</w:t>
            </w:r>
            <w:r>
              <w:rPr>
                <w:sz w:val="24"/>
                <w:szCs w:val="24"/>
              </w:rPr>
              <w:t>аро-Фоминский р-он, р.п. Селятино, ул. Клубная, д. 5</w:t>
            </w:r>
          </w:p>
          <w:p w:rsidR="00C108E6" w:rsidRDefault="00C108E6" w:rsidP="00C108E6">
            <w:pPr>
              <w:tabs>
                <w:tab w:val="num" w:pos="0"/>
              </w:tabs>
              <w:ind w:right="57"/>
              <w:rPr>
                <w:sz w:val="24"/>
                <w:szCs w:val="24"/>
              </w:rPr>
            </w:pPr>
            <w:r>
              <w:rPr>
                <w:b/>
                <w:i/>
                <w:color w:val="000000"/>
                <w:sz w:val="22"/>
                <w:szCs w:val="22"/>
              </w:rPr>
              <w:t>Адрес местонахождения:</w:t>
            </w:r>
            <w:r>
              <w:t xml:space="preserve"> </w:t>
            </w:r>
            <w:r>
              <w:rPr>
                <w:sz w:val="24"/>
                <w:szCs w:val="24"/>
              </w:rPr>
              <w:t>143345</w:t>
            </w:r>
            <w:r w:rsidRPr="00552113">
              <w:rPr>
                <w:sz w:val="24"/>
                <w:szCs w:val="24"/>
              </w:rPr>
              <w:t>, М.О.</w:t>
            </w:r>
            <w:r>
              <w:rPr>
                <w:sz w:val="24"/>
                <w:szCs w:val="24"/>
              </w:rPr>
              <w:t>,</w:t>
            </w:r>
            <w:r w:rsidRPr="00552113">
              <w:rPr>
                <w:sz w:val="24"/>
                <w:szCs w:val="24"/>
              </w:rPr>
              <w:t xml:space="preserve"> Н</w:t>
            </w:r>
            <w:r>
              <w:rPr>
                <w:sz w:val="24"/>
                <w:szCs w:val="24"/>
              </w:rPr>
              <w:t>аро-Фоминский р-он, р.п. Селятино, ул. Клубная, д. 5</w:t>
            </w:r>
          </w:p>
          <w:p w:rsidR="00C108E6" w:rsidRPr="00E079CB" w:rsidRDefault="00C108E6" w:rsidP="00C108E6">
            <w:pPr>
              <w:rPr>
                <w:rStyle w:val="ab"/>
                <w:color w:val="auto"/>
                <w:sz w:val="24"/>
                <w:szCs w:val="24"/>
                <w:u w:val="none"/>
              </w:rPr>
            </w:pPr>
            <w:r>
              <w:rPr>
                <w:b/>
                <w:i/>
                <w:color w:val="000000"/>
                <w:sz w:val="22"/>
                <w:szCs w:val="22"/>
              </w:rPr>
              <w:t xml:space="preserve">Адрес электронной почты: </w:t>
            </w:r>
            <w:hyperlink r:id="rId11" w:history="1">
              <w:r w:rsidRPr="00FA156C">
                <w:rPr>
                  <w:rStyle w:val="ab"/>
                  <w:sz w:val="24"/>
                  <w:szCs w:val="24"/>
                  <w:lang w:val="en-US"/>
                </w:rPr>
                <w:t>selyatino</w:t>
              </w:r>
              <w:r w:rsidRPr="00E079CB">
                <w:rPr>
                  <w:rStyle w:val="ab"/>
                  <w:sz w:val="24"/>
                  <w:szCs w:val="24"/>
                </w:rPr>
                <w:t>-</w:t>
              </w:r>
              <w:r w:rsidRPr="00FA156C">
                <w:rPr>
                  <w:rStyle w:val="ab"/>
                  <w:sz w:val="24"/>
                  <w:szCs w:val="24"/>
                  <w:lang w:val="en-US"/>
                </w:rPr>
                <w:t>school</w:t>
              </w:r>
              <w:r w:rsidRPr="00E079CB">
                <w:rPr>
                  <w:rStyle w:val="ab"/>
                  <w:sz w:val="24"/>
                  <w:szCs w:val="24"/>
                </w:rPr>
                <w:t>-1@</w:t>
              </w:r>
              <w:r w:rsidRPr="00FA156C">
                <w:rPr>
                  <w:rStyle w:val="ab"/>
                  <w:sz w:val="24"/>
                  <w:szCs w:val="24"/>
                  <w:lang w:val="en-US"/>
                </w:rPr>
                <w:t>mail</w:t>
              </w:r>
              <w:r w:rsidRPr="00E079CB">
                <w:rPr>
                  <w:rStyle w:val="ab"/>
                  <w:sz w:val="24"/>
                  <w:szCs w:val="24"/>
                </w:rPr>
                <w:t>.</w:t>
              </w:r>
              <w:r w:rsidRPr="00FA156C">
                <w:rPr>
                  <w:rStyle w:val="ab"/>
                  <w:sz w:val="24"/>
                  <w:szCs w:val="24"/>
                  <w:lang w:val="en-US"/>
                </w:rPr>
                <w:t>ru</w:t>
              </w:r>
            </w:hyperlink>
          </w:p>
          <w:p w:rsidR="00E876D5" w:rsidRPr="00660E31" w:rsidRDefault="00C108E6" w:rsidP="00C108E6">
            <w:pPr>
              <w:tabs>
                <w:tab w:val="num" w:pos="176"/>
                <w:tab w:val="center" w:pos="3175"/>
              </w:tabs>
              <w:rPr>
                <w:sz w:val="22"/>
                <w:szCs w:val="22"/>
              </w:rPr>
            </w:pPr>
            <w:r>
              <w:rPr>
                <w:b/>
                <w:i/>
                <w:color w:val="000000"/>
                <w:sz w:val="22"/>
                <w:szCs w:val="22"/>
              </w:rPr>
              <w:t>Телефон/факс</w:t>
            </w:r>
            <w:r>
              <w:rPr>
                <w:color w:val="000000"/>
                <w:sz w:val="22"/>
                <w:szCs w:val="22"/>
              </w:rPr>
              <w:t xml:space="preserve">: </w:t>
            </w:r>
            <w:r w:rsidRPr="00E079CB">
              <w:rPr>
                <w:sz w:val="24"/>
                <w:szCs w:val="24"/>
              </w:rPr>
              <w:t>8(496) 342-52-88</w:t>
            </w:r>
            <w:r>
              <w:rPr>
                <w:sz w:val="24"/>
                <w:szCs w:val="24"/>
              </w:rPr>
              <w:t xml:space="preserve">, 342-55-67, 342-52-44 </w:t>
            </w:r>
            <w:r>
              <w:rPr>
                <w:b/>
                <w:i/>
                <w:color w:val="000000"/>
                <w:sz w:val="22"/>
                <w:szCs w:val="22"/>
              </w:rPr>
              <w:t xml:space="preserve">Контактное лицо: </w:t>
            </w:r>
            <w:r>
              <w:rPr>
                <w:sz w:val="24"/>
                <w:szCs w:val="24"/>
              </w:rPr>
              <w:t>Ланина Ирина Владимировна</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rsidR="00E876D5" w:rsidRPr="00660E31" w:rsidRDefault="00C108E6"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rsidR="00E876D5" w:rsidRPr="00660E31" w:rsidRDefault="00E876D5" w:rsidP="008262C3">
            <w:pPr>
              <w:keepLines/>
              <w:widowControl w:val="0"/>
              <w:suppressLineNumbers/>
              <w:suppressAutoHyphens/>
              <w:rPr>
                <w:sz w:val="22"/>
                <w:szCs w:val="22"/>
                <w:highlight w:val="yellow"/>
                <w:lang w:val="en-US"/>
              </w:rPr>
            </w:pPr>
          </w:p>
        </w:tc>
      </w:tr>
      <w:tr w:rsidR="00C108E6" w:rsidRPr="00E43DE3" w:rsidTr="008262C3">
        <w:trPr>
          <w:trHeight w:val="20"/>
        </w:trPr>
        <w:tc>
          <w:tcPr>
            <w:tcW w:w="709" w:type="dxa"/>
            <w:vMerge w:val="restart"/>
            <w:shd w:val="clear" w:color="auto" w:fill="auto"/>
          </w:tcPr>
          <w:p w:rsidR="00C108E6" w:rsidRPr="00E43DE3" w:rsidRDefault="00C108E6" w:rsidP="00C108E6">
            <w:pPr>
              <w:numPr>
                <w:ilvl w:val="0"/>
                <w:numId w:val="1"/>
              </w:numPr>
              <w:autoSpaceDE/>
              <w:autoSpaceDN/>
              <w:spacing w:after="60"/>
              <w:jc w:val="center"/>
              <w:rPr>
                <w:sz w:val="22"/>
                <w:szCs w:val="22"/>
              </w:rPr>
            </w:pPr>
          </w:p>
        </w:tc>
        <w:tc>
          <w:tcPr>
            <w:tcW w:w="2948" w:type="dxa"/>
            <w:shd w:val="clear" w:color="auto" w:fill="auto"/>
          </w:tcPr>
          <w:p w:rsidR="00C108E6" w:rsidRPr="00310DC5" w:rsidRDefault="00C108E6" w:rsidP="00C108E6">
            <w:pPr>
              <w:jc w:val="both"/>
              <w:rPr>
                <w:b/>
              </w:rPr>
            </w:pPr>
            <w:r w:rsidRPr="00310DC5">
              <w:rPr>
                <w:b/>
              </w:rPr>
              <w:t>Наименование оператора электронной площадки</w:t>
            </w:r>
          </w:p>
        </w:tc>
        <w:tc>
          <w:tcPr>
            <w:tcW w:w="5982" w:type="dxa"/>
            <w:shd w:val="clear" w:color="auto" w:fill="auto"/>
            <w:vAlign w:val="center"/>
          </w:tcPr>
          <w:p w:rsidR="00C108E6" w:rsidRPr="00660E31" w:rsidRDefault="00C108E6" w:rsidP="00C108E6">
            <w:pPr>
              <w:keepLines/>
              <w:widowControl w:val="0"/>
              <w:suppressLineNumbers/>
              <w:suppressAutoHyphens/>
              <w:rPr>
                <w:sz w:val="22"/>
                <w:szCs w:val="22"/>
                <w:highlight w:val="yellow"/>
              </w:rPr>
            </w:pPr>
            <w:r w:rsidRPr="00AF034E">
              <w:rPr>
                <w:sz w:val="22"/>
                <w:szCs w:val="22"/>
              </w:rPr>
              <w:t xml:space="preserve">ESTP </w:t>
            </w:r>
          </w:p>
        </w:tc>
      </w:tr>
      <w:tr w:rsidR="00C108E6" w:rsidRPr="00E43DE3" w:rsidTr="008262C3">
        <w:trPr>
          <w:trHeight w:val="20"/>
        </w:trPr>
        <w:tc>
          <w:tcPr>
            <w:tcW w:w="709" w:type="dxa"/>
            <w:vMerge/>
            <w:shd w:val="clear" w:color="auto" w:fill="auto"/>
          </w:tcPr>
          <w:p w:rsidR="00C108E6" w:rsidRPr="00E43DE3" w:rsidRDefault="00C108E6" w:rsidP="00C108E6">
            <w:pPr>
              <w:numPr>
                <w:ilvl w:val="0"/>
                <w:numId w:val="1"/>
              </w:numPr>
              <w:autoSpaceDE/>
              <w:autoSpaceDN/>
              <w:spacing w:after="60"/>
              <w:jc w:val="center"/>
              <w:rPr>
                <w:sz w:val="22"/>
                <w:szCs w:val="22"/>
              </w:rPr>
            </w:pPr>
          </w:p>
        </w:tc>
        <w:tc>
          <w:tcPr>
            <w:tcW w:w="2948" w:type="dxa"/>
            <w:shd w:val="clear" w:color="auto" w:fill="auto"/>
          </w:tcPr>
          <w:p w:rsidR="00C108E6" w:rsidRPr="00310DC5" w:rsidRDefault="00C108E6" w:rsidP="00C108E6">
            <w:pPr>
              <w:adjustRightInd w:val="0"/>
              <w:rPr>
                <w:b/>
              </w:rPr>
            </w:pPr>
            <w:r w:rsidRPr="00310DC5">
              <w:rPr>
                <w:b/>
              </w:rPr>
              <w:t>Адрес электронной площадки в сети «Интернет»</w:t>
            </w:r>
          </w:p>
        </w:tc>
        <w:tc>
          <w:tcPr>
            <w:tcW w:w="5982" w:type="dxa"/>
            <w:shd w:val="clear" w:color="auto" w:fill="auto"/>
            <w:vAlign w:val="center"/>
          </w:tcPr>
          <w:p w:rsidR="00C108E6" w:rsidRPr="00660E31" w:rsidRDefault="00C108E6" w:rsidP="00C108E6">
            <w:pPr>
              <w:keepLines/>
              <w:widowControl w:val="0"/>
              <w:suppressLineNumbers/>
              <w:suppressAutoHyphens/>
              <w:rPr>
                <w:b/>
                <w:i/>
                <w:sz w:val="22"/>
                <w:szCs w:val="22"/>
              </w:rPr>
            </w:pPr>
            <w:r w:rsidRPr="00AF034E">
              <w:rPr>
                <w:sz w:val="22"/>
                <w:szCs w:val="22"/>
              </w:rPr>
              <w:t>www.estp.ru</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C108E6">
              <w:rPr>
                <w:b/>
                <w:i/>
                <w:spacing w:val="-2"/>
                <w:sz w:val="22"/>
                <w:szCs w:val="22"/>
              </w:rPr>
              <w:t xml:space="preserve"> </w:t>
            </w:r>
            <w:r w:rsidR="00382E70">
              <w:rPr>
                <w:b/>
                <w:i/>
                <w:spacing w:val="-2"/>
                <w:sz w:val="22"/>
                <w:szCs w:val="22"/>
              </w:rPr>
              <w:t xml:space="preserve"> горячего питания</w:t>
            </w:r>
          </w:p>
          <w:p w:rsidR="00E876D5" w:rsidRPr="00660E31" w:rsidRDefault="00E876D5" w:rsidP="008262C3">
            <w:pPr>
              <w:ind w:firstLine="5"/>
              <w:jc w:val="both"/>
              <w:rPr>
                <w:b/>
                <w:sz w:val="22"/>
                <w:szCs w:val="22"/>
              </w:rPr>
            </w:pPr>
          </w:p>
          <w:p w:rsidR="00C108E6" w:rsidRPr="00C108E6" w:rsidRDefault="00E876D5" w:rsidP="00C108E6">
            <w:pPr>
              <w:tabs>
                <w:tab w:val="num" w:pos="0"/>
              </w:tabs>
              <w:ind w:right="57" w:firstLine="5"/>
              <w:jc w:val="both"/>
              <w:rPr>
                <w:sz w:val="22"/>
                <w:szCs w:val="22"/>
              </w:rPr>
            </w:pPr>
            <w:r w:rsidRPr="00660E31">
              <w:rPr>
                <w:b/>
                <w:sz w:val="22"/>
                <w:szCs w:val="22"/>
              </w:rPr>
              <w:t xml:space="preserve">Место оказания услуг: </w:t>
            </w:r>
            <w:r w:rsidR="00C108E6" w:rsidRPr="00C108E6">
              <w:rPr>
                <w:sz w:val="22"/>
                <w:szCs w:val="22"/>
              </w:rPr>
              <w:t>143345, М.О., Наро-Фоминский р-он, р.п. Селятино, ул. Клубная, д. 5</w:t>
            </w:r>
          </w:p>
          <w:p w:rsidR="00E876D5" w:rsidRPr="00660E31" w:rsidRDefault="00E876D5" w:rsidP="008262C3">
            <w:pPr>
              <w:tabs>
                <w:tab w:val="num" w:pos="0"/>
              </w:tabs>
              <w:ind w:right="57" w:firstLine="5"/>
              <w:jc w:val="both"/>
              <w:rPr>
                <w:color w:val="000000"/>
                <w:sz w:val="22"/>
                <w:szCs w:val="22"/>
              </w:rPr>
            </w:pPr>
          </w:p>
          <w:p w:rsidR="00E876D5" w:rsidRDefault="00E876D5" w:rsidP="008262C3">
            <w:pPr>
              <w:tabs>
                <w:tab w:val="num" w:pos="0"/>
              </w:tabs>
              <w:ind w:right="57"/>
              <w:jc w:val="both"/>
              <w:rPr>
                <w:sz w:val="22"/>
                <w:szCs w:val="22"/>
              </w:rPr>
            </w:pPr>
            <w:r w:rsidRPr="00660E31">
              <w:rPr>
                <w:b/>
                <w:sz w:val="22"/>
                <w:szCs w:val="22"/>
              </w:rPr>
              <w:t>Срок оказания услуг</w:t>
            </w:r>
            <w:r w:rsidRPr="00660E31">
              <w:rPr>
                <w:sz w:val="22"/>
                <w:szCs w:val="22"/>
              </w:rPr>
              <w:t xml:space="preserve">: </w:t>
            </w:r>
            <w:r w:rsidR="00C108E6" w:rsidRPr="00C108E6">
              <w:rPr>
                <w:sz w:val="22"/>
                <w:szCs w:val="22"/>
              </w:rPr>
              <w:t>с момента заключения договора (но не ранее 01 сентября 2020 г. по 30 декабря 2020 г.</w:t>
            </w:r>
          </w:p>
          <w:p w:rsidR="00C108E6" w:rsidRPr="00660E31" w:rsidRDefault="00C108E6" w:rsidP="008262C3">
            <w:pPr>
              <w:tabs>
                <w:tab w:val="num" w:pos="0"/>
              </w:tabs>
              <w:ind w:right="57"/>
              <w:jc w:val="both"/>
              <w:rPr>
                <w:color w:val="000000"/>
                <w:sz w:val="22"/>
                <w:szCs w:val="22"/>
              </w:rPr>
            </w:pPr>
          </w:p>
          <w:p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310DC5" w:rsidRDefault="00E876D5" w:rsidP="008262C3">
            <w:pPr>
              <w:keepLines/>
              <w:widowControl w:val="0"/>
              <w:suppressLineNumbers/>
              <w:suppressAutoHyphens/>
              <w:rPr>
                <w:b/>
              </w:rPr>
            </w:pPr>
            <w:bookmarkStart w:id="14" w:name="last"/>
            <w:bookmarkEnd w:id="14"/>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rsidR="00C108E6" w:rsidRPr="00C108E6" w:rsidRDefault="00C108E6" w:rsidP="00C108E6">
            <w:pPr>
              <w:ind w:firstLine="288"/>
              <w:jc w:val="both"/>
              <w:rPr>
                <w:b/>
                <w:sz w:val="22"/>
                <w:szCs w:val="22"/>
              </w:rPr>
            </w:pPr>
            <w:r w:rsidRPr="00C108E6">
              <w:rPr>
                <w:b/>
                <w:sz w:val="22"/>
                <w:szCs w:val="22"/>
              </w:rPr>
              <w:t>4 222 728,00 (четыре миллиона двести двадцать две тысячи семьсот двадцать восемь) рублей 00 копеек с учетом НДС.</w:t>
            </w:r>
          </w:p>
          <w:p w:rsidR="00E876D5" w:rsidRDefault="00E876D5" w:rsidP="008262C3">
            <w:pPr>
              <w:rPr>
                <w:color w:val="000000"/>
                <w:sz w:val="22"/>
                <w:szCs w:val="22"/>
              </w:rPr>
            </w:pPr>
          </w:p>
          <w:p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rsidTr="008262C3">
        <w:trPr>
          <w:trHeight w:val="421"/>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15" w:name="_Toc375898299"/>
            <w:bookmarkStart w:id="16" w:name="_Toc375898883"/>
            <w:bookmarkEnd w:id="15"/>
            <w:bookmarkEnd w:id="16"/>
          </w:p>
        </w:tc>
        <w:tc>
          <w:tcPr>
            <w:tcW w:w="2948" w:type="dxa"/>
            <w:shd w:val="clear" w:color="auto" w:fill="auto"/>
          </w:tcPr>
          <w:p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rsidR="00E876D5" w:rsidRPr="00640B2E" w:rsidRDefault="00E876D5" w:rsidP="00382E70">
            <w:pPr>
              <w:tabs>
                <w:tab w:val="left" w:pos="0"/>
              </w:tabs>
              <w:autoSpaceDE/>
              <w:autoSpaceDN/>
              <w:spacing w:line="264" w:lineRule="auto"/>
              <w:ind w:right="132"/>
              <w:jc w:val="both"/>
              <w:rPr>
                <w:b/>
                <w:sz w:val="22"/>
                <w:szCs w:val="22"/>
              </w:rPr>
            </w:pPr>
            <w:r w:rsidRPr="000A2219">
              <w:rPr>
                <w:b/>
                <w:sz w:val="22"/>
                <w:szCs w:val="22"/>
              </w:rPr>
              <w:t xml:space="preserve">Средства бюджета </w:t>
            </w:r>
            <w:r w:rsidR="00382E70">
              <w:rPr>
                <w:b/>
                <w:sz w:val="22"/>
                <w:szCs w:val="22"/>
              </w:rPr>
              <w:t>Московской области</w:t>
            </w:r>
            <w:r>
              <w:rPr>
                <w:b/>
                <w:sz w:val="22"/>
                <w:szCs w:val="22"/>
              </w:rPr>
              <w:t xml:space="preserve"> </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17" w:name="_Toc375898300"/>
            <w:bookmarkStart w:id="18" w:name="_Toc375898884"/>
            <w:bookmarkEnd w:id="17"/>
            <w:bookmarkEnd w:id="18"/>
          </w:p>
        </w:tc>
        <w:tc>
          <w:tcPr>
            <w:tcW w:w="2948" w:type="dxa"/>
            <w:shd w:val="clear" w:color="auto" w:fill="auto"/>
          </w:tcPr>
          <w:p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rsidR="0026046E" w:rsidRPr="005B4E7C" w:rsidRDefault="00C108E6" w:rsidP="0026046E">
            <w:pPr>
              <w:tabs>
                <w:tab w:val="left" w:pos="0"/>
              </w:tabs>
              <w:autoSpaceDE/>
              <w:autoSpaceDN/>
              <w:ind w:right="132"/>
              <w:jc w:val="both"/>
              <w:rPr>
                <w:b/>
                <w:sz w:val="22"/>
                <w:szCs w:val="22"/>
              </w:rPr>
            </w:pPr>
            <w:r>
              <w:rPr>
                <w:b/>
                <w:sz w:val="22"/>
                <w:szCs w:val="22"/>
              </w:rPr>
              <w:t>«07</w:t>
            </w:r>
            <w:r w:rsidR="0026046E" w:rsidRPr="005B4E7C">
              <w:rPr>
                <w:b/>
                <w:sz w:val="22"/>
                <w:szCs w:val="22"/>
              </w:rPr>
              <w:t xml:space="preserve">» </w:t>
            </w:r>
            <w:r w:rsidR="008258B1">
              <w:rPr>
                <w:b/>
                <w:sz w:val="22"/>
                <w:szCs w:val="22"/>
              </w:rPr>
              <w:t>июля 2020</w:t>
            </w:r>
            <w:r w:rsidR="0026046E" w:rsidRPr="005B4E7C">
              <w:rPr>
                <w:b/>
                <w:sz w:val="22"/>
                <w:szCs w:val="22"/>
              </w:rPr>
              <w:t xml:space="preserve"> г.</w:t>
            </w:r>
          </w:p>
          <w:p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rsidR="0026046E" w:rsidRPr="005B4E7C" w:rsidRDefault="008258B1" w:rsidP="0026046E">
            <w:pPr>
              <w:tabs>
                <w:tab w:val="left" w:pos="0"/>
              </w:tabs>
              <w:autoSpaceDE/>
              <w:autoSpaceDN/>
              <w:ind w:right="132"/>
              <w:jc w:val="both"/>
              <w:rPr>
                <w:b/>
                <w:sz w:val="22"/>
                <w:szCs w:val="22"/>
              </w:rPr>
            </w:pPr>
            <w:r>
              <w:rPr>
                <w:b/>
                <w:sz w:val="22"/>
                <w:szCs w:val="22"/>
              </w:rPr>
              <w:t>«23</w:t>
            </w:r>
            <w:r w:rsidR="0026046E" w:rsidRPr="005B4E7C">
              <w:rPr>
                <w:b/>
                <w:sz w:val="22"/>
                <w:szCs w:val="22"/>
              </w:rPr>
              <w:t xml:space="preserve">» </w:t>
            </w:r>
            <w:r>
              <w:rPr>
                <w:b/>
                <w:sz w:val="22"/>
                <w:szCs w:val="22"/>
              </w:rPr>
              <w:t>июля 2020</w:t>
            </w:r>
            <w:r w:rsidR="0026046E" w:rsidRPr="005B4E7C">
              <w:rPr>
                <w:b/>
                <w:sz w:val="22"/>
                <w:szCs w:val="22"/>
              </w:rPr>
              <w:t xml:space="preserve"> г. </w:t>
            </w:r>
          </w:p>
          <w:p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rsidR="0026046E" w:rsidRPr="005B4E7C" w:rsidRDefault="0026046E" w:rsidP="0026046E">
            <w:pPr>
              <w:tabs>
                <w:tab w:val="left" w:pos="0"/>
              </w:tabs>
              <w:autoSpaceDE/>
              <w:autoSpaceDN/>
              <w:ind w:right="132"/>
              <w:jc w:val="both"/>
              <w:rPr>
                <w:sz w:val="22"/>
                <w:szCs w:val="22"/>
              </w:rPr>
            </w:pPr>
          </w:p>
          <w:p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rsidR="0009041F" w:rsidRDefault="0009041F" w:rsidP="0009041F">
            <w:pPr>
              <w:tabs>
                <w:tab w:val="left" w:pos="0"/>
              </w:tabs>
              <w:autoSpaceDE/>
              <w:autoSpaceDN/>
              <w:ind w:right="132" w:firstLine="346"/>
              <w:jc w:val="both"/>
              <w:rPr>
                <w:sz w:val="22"/>
                <w:szCs w:val="22"/>
              </w:rPr>
            </w:pPr>
            <w:r>
              <w:rPr>
                <w:sz w:val="22"/>
                <w:szCs w:val="22"/>
              </w:rPr>
              <w:t>Дата начала рассмотрения первых частей заявок:</w:t>
            </w:r>
          </w:p>
          <w:p w:rsidR="0009041F" w:rsidRPr="009E1ACD" w:rsidRDefault="0009041F" w:rsidP="0009041F">
            <w:pPr>
              <w:tabs>
                <w:tab w:val="left" w:pos="0"/>
              </w:tabs>
              <w:autoSpaceDE/>
              <w:autoSpaceDN/>
              <w:ind w:right="132"/>
              <w:jc w:val="both"/>
              <w:rPr>
                <w:b/>
                <w:sz w:val="22"/>
                <w:szCs w:val="22"/>
              </w:rPr>
            </w:pPr>
            <w:r w:rsidRPr="009E1ACD">
              <w:rPr>
                <w:b/>
                <w:sz w:val="22"/>
                <w:szCs w:val="22"/>
              </w:rPr>
              <w:t>- непосредственно после окончания подачи заявок</w:t>
            </w:r>
          </w:p>
          <w:p w:rsidR="0009041F" w:rsidRDefault="0009041F" w:rsidP="0009041F">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rsidR="0009041F" w:rsidRPr="00E42744" w:rsidRDefault="00593ECC" w:rsidP="0009041F">
            <w:pPr>
              <w:tabs>
                <w:tab w:val="left" w:pos="0"/>
              </w:tabs>
              <w:autoSpaceDE/>
              <w:autoSpaceDN/>
              <w:ind w:right="132"/>
              <w:jc w:val="both"/>
              <w:rPr>
                <w:b/>
                <w:sz w:val="22"/>
                <w:szCs w:val="22"/>
              </w:rPr>
            </w:pPr>
            <w:r>
              <w:rPr>
                <w:b/>
                <w:sz w:val="22"/>
                <w:szCs w:val="22"/>
              </w:rPr>
              <w:t>«2</w:t>
            </w:r>
            <w:r w:rsidR="008258B1">
              <w:rPr>
                <w:b/>
                <w:sz w:val="22"/>
                <w:szCs w:val="22"/>
              </w:rPr>
              <w:t>7</w:t>
            </w:r>
            <w:r w:rsidR="0009041F" w:rsidRPr="00E42744">
              <w:rPr>
                <w:b/>
                <w:sz w:val="22"/>
                <w:szCs w:val="22"/>
              </w:rPr>
              <w:t xml:space="preserve">» </w:t>
            </w:r>
            <w:r w:rsidR="008258B1">
              <w:rPr>
                <w:b/>
                <w:sz w:val="22"/>
                <w:szCs w:val="22"/>
              </w:rPr>
              <w:t>июля 2020</w:t>
            </w:r>
            <w:r w:rsidR="0009041F" w:rsidRPr="00E42744">
              <w:rPr>
                <w:b/>
                <w:sz w:val="22"/>
                <w:szCs w:val="22"/>
              </w:rPr>
              <w:t xml:space="preserve"> г. </w:t>
            </w:r>
          </w:p>
          <w:p w:rsidR="0009041F" w:rsidRDefault="0009041F"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rsidR="0009041F" w:rsidRDefault="0009041F" w:rsidP="0009041F">
            <w:pPr>
              <w:tabs>
                <w:tab w:val="left" w:pos="0"/>
              </w:tabs>
              <w:autoSpaceDE/>
              <w:autoSpaceDN/>
              <w:ind w:right="132"/>
              <w:jc w:val="both"/>
              <w:rPr>
                <w:i/>
                <w:sz w:val="22"/>
                <w:szCs w:val="22"/>
              </w:rPr>
            </w:pPr>
          </w:p>
          <w:p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rsidTr="008262C3">
        <w:trPr>
          <w:trHeight w:val="20"/>
        </w:trPr>
        <w:tc>
          <w:tcPr>
            <w:tcW w:w="709" w:type="dxa"/>
            <w:shd w:val="clear" w:color="auto" w:fill="auto"/>
          </w:tcPr>
          <w:p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rsidR="0009041F" w:rsidRDefault="0009041F" w:rsidP="0009041F">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rsidR="0009041F" w:rsidRPr="009E1ACD" w:rsidRDefault="0009041F" w:rsidP="0009041F">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rsidR="0009041F" w:rsidRDefault="0009041F" w:rsidP="0009041F">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rsidR="0009041F" w:rsidRPr="00E42744" w:rsidRDefault="008258B1" w:rsidP="0009041F">
            <w:pPr>
              <w:tabs>
                <w:tab w:val="left" w:pos="0"/>
              </w:tabs>
              <w:autoSpaceDE/>
              <w:autoSpaceDN/>
              <w:ind w:right="132"/>
              <w:jc w:val="both"/>
              <w:rPr>
                <w:b/>
                <w:sz w:val="22"/>
                <w:szCs w:val="22"/>
              </w:rPr>
            </w:pPr>
            <w:r>
              <w:rPr>
                <w:b/>
                <w:sz w:val="22"/>
                <w:szCs w:val="22"/>
              </w:rPr>
              <w:t>«29</w:t>
            </w:r>
            <w:r w:rsidR="0009041F" w:rsidRPr="00E42744">
              <w:rPr>
                <w:b/>
                <w:sz w:val="22"/>
                <w:szCs w:val="22"/>
              </w:rPr>
              <w:t xml:space="preserve">» </w:t>
            </w:r>
            <w:r>
              <w:rPr>
                <w:b/>
                <w:sz w:val="22"/>
                <w:szCs w:val="22"/>
              </w:rPr>
              <w:t>июля 2020</w:t>
            </w:r>
            <w:r w:rsidR="0009041F" w:rsidRPr="00E42744">
              <w:rPr>
                <w:b/>
                <w:sz w:val="22"/>
                <w:szCs w:val="22"/>
              </w:rPr>
              <w:t xml:space="preserve"> г. </w:t>
            </w:r>
          </w:p>
          <w:p w:rsidR="0009041F" w:rsidRDefault="0009041F"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rsidR="0009041F" w:rsidRDefault="0009041F" w:rsidP="0009041F">
            <w:pPr>
              <w:tabs>
                <w:tab w:val="left" w:pos="0"/>
              </w:tabs>
              <w:autoSpaceDE/>
              <w:autoSpaceDN/>
              <w:ind w:right="132"/>
              <w:jc w:val="both"/>
              <w:rPr>
                <w:i/>
                <w:sz w:val="22"/>
                <w:szCs w:val="22"/>
              </w:rPr>
            </w:pPr>
          </w:p>
          <w:p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rsidTr="008262C3">
        <w:trPr>
          <w:trHeight w:val="20"/>
        </w:trPr>
        <w:tc>
          <w:tcPr>
            <w:tcW w:w="709" w:type="dxa"/>
            <w:shd w:val="clear" w:color="auto" w:fill="auto"/>
          </w:tcPr>
          <w:p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rsidR="0009041F" w:rsidRDefault="0009041F" w:rsidP="0009041F">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rsidR="0009041F" w:rsidRPr="00E42744" w:rsidRDefault="008258B1" w:rsidP="0009041F">
            <w:pPr>
              <w:tabs>
                <w:tab w:val="left" w:pos="0"/>
              </w:tabs>
              <w:autoSpaceDE/>
              <w:autoSpaceDN/>
              <w:ind w:right="132"/>
              <w:jc w:val="both"/>
              <w:rPr>
                <w:b/>
                <w:sz w:val="22"/>
                <w:szCs w:val="22"/>
              </w:rPr>
            </w:pPr>
            <w:r>
              <w:rPr>
                <w:b/>
                <w:sz w:val="22"/>
                <w:szCs w:val="22"/>
              </w:rPr>
              <w:t>«31</w:t>
            </w:r>
            <w:r w:rsidR="0009041F" w:rsidRPr="00E42744">
              <w:rPr>
                <w:b/>
                <w:sz w:val="22"/>
                <w:szCs w:val="22"/>
              </w:rPr>
              <w:t xml:space="preserve">» </w:t>
            </w:r>
            <w:r>
              <w:rPr>
                <w:b/>
                <w:sz w:val="22"/>
                <w:szCs w:val="22"/>
              </w:rPr>
              <w:t>июля 2020</w:t>
            </w:r>
            <w:r w:rsidR="0009041F" w:rsidRPr="00E42744">
              <w:rPr>
                <w:b/>
                <w:sz w:val="22"/>
                <w:szCs w:val="22"/>
              </w:rPr>
              <w:t xml:space="preserve"> г. </w:t>
            </w:r>
          </w:p>
          <w:p w:rsidR="0009041F" w:rsidRDefault="0009041F"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rsidR="0009041F" w:rsidRDefault="0009041F" w:rsidP="0009041F">
            <w:pPr>
              <w:tabs>
                <w:tab w:val="left" w:pos="0"/>
              </w:tabs>
              <w:autoSpaceDE/>
              <w:autoSpaceDN/>
              <w:ind w:right="132"/>
              <w:jc w:val="both"/>
              <w:rPr>
                <w:i/>
                <w:sz w:val="22"/>
                <w:szCs w:val="22"/>
              </w:rPr>
            </w:pPr>
          </w:p>
          <w:p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19" w:name="_Toc375898301"/>
            <w:bookmarkStart w:id="20" w:name="_Toc375898885"/>
            <w:bookmarkStart w:id="21" w:name="_Toc375898302"/>
            <w:bookmarkStart w:id="22" w:name="_Toc375898886"/>
            <w:bookmarkEnd w:id="19"/>
            <w:bookmarkEnd w:id="20"/>
            <w:bookmarkEnd w:id="21"/>
            <w:bookmarkEnd w:id="22"/>
          </w:p>
        </w:tc>
        <w:tc>
          <w:tcPr>
            <w:tcW w:w="2948" w:type="dxa"/>
            <w:shd w:val="clear" w:color="auto" w:fill="auto"/>
          </w:tcPr>
          <w:p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rsidR="00E876D5" w:rsidRPr="00310DC5" w:rsidRDefault="00E876D5" w:rsidP="008262C3">
            <w:pPr>
              <w:adjustRightInd w:val="0"/>
              <w:rPr>
                <w:b/>
              </w:rPr>
            </w:pPr>
          </w:p>
        </w:tc>
        <w:tc>
          <w:tcPr>
            <w:tcW w:w="5982" w:type="dxa"/>
            <w:shd w:val="clear" w:color="auto" w:fill="auto"/>
          </w:tcPr>
          <w:p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rsidR="00E876D5" w:rsidRPr="00310DC5" w:rsidRDefault="00E876D5" w:rsidP="008262C3">
            <w:pPr>
              <w:adjustRightInd w:val="0"/>
              <w:rPr>
                <w:b/>
              </w:rPr>
            </w:pPr>
          </w:p>
        </w:tc>
        <w:tc>
          <w:tcPr>
            <w:tcW w:w="5982" w:type="dxa"/>
            <w:shd w:val="clear" w:color="auto" w:fill="auto"/>
          </w:tcPr>
          <w:p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bookmarkStart w:id="23" w:name="_Toc375898303"/>
            <w:bookmarkStart w:id="24" w:name="_Toc375898887"/>
            <w:bookmarkStart w:id="25" w:name="_Toc375898304"/>
            <w:bookmarkStart w:id="26" w:name="_Toc375898888"/>
            <w:bookmarkStart w:id="27" w:name="_Toc375898306"/>
            <w:bookmarkStart w:id="28" w:name="_Toc375898890"/>
            <w:bookmarkEnd w:id="23"/>
            <w:bookmarkEnd w:id="24"/>
            <w:bookmarkEnd w:id="25"/>
            <w:bookmarkEnd w:id="26"/>
            <w:bookmarkEnd w:id="27"/>
            <w:bookmarkEnd w:id="28"/>
          </w:p>
        </w:tc>
        <w:tc>
          <w:tcPr>
            <w:tcW w:w="2948" w:type="dxa"/>
            <w:shd w:val="clear" w:color="auto" w:fill="auto"/>
          </w:tcPr>
          <w:p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rsidR="00E876D5" w:rsidRDefault="00E876D5" w:rsidP="008262C3">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rsidR="00E876D5" w:rsidRDefault="00E876D5" w:rsidP="008262C3">
            <w:pPr>
              <w:jc w:val="both"/>
              <w:rPr>
                <w:sz w:val="22"/>
                <w:szCs w:val="22"/>
              </w:rPr>
            </w:pPr>
          </w:p>
          <w:p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rsidR="00E876D5" w:rsidRDefault="00E876D5" w:rsidP="008262C3">
            <w:pPr>
              <w:jc w:val="both"/>
              <w:rPr>
                <w:sz w:val="22"/>
                <w:szCs w:val="22"/>
              </w:rPr>
            </w:pPr>
          </w:p>
          <w:p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rsidR="00E876D5" w:rsidRPr="00894854" w:rsidRDefault="00E876D5" w:rsidP="008262C3">
            <w:pPr>
              <w:jc w:val="both"/>
              <w:rPr>
                <w:sz w:val="22"/>
                <w:szCs w:val="22"/>
              </w:rPr>
            </w:pPr>
            <w:r w:rsidRPr="00894854">
              <w:rPr>
                <w:sz w:val="22"/>
                <w:szCs w:val="22"/>
              </w:rPr>
              <w:t xml:space="preserve"> </w:t>
            </w:r>
          </w:p>
          <w:p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rsidR="00E876D5" w:rsidRPr="00894854" w:rsidRDefault="00E876D5" w:rsidP="008262C3">
            <w:pPr>
              <w:jc w:val="both"/>
              <w:rPr>
                <w:sz w:val="22"/>
                <w:szCs w:val="22"/>
              </w:rPr>
            </w:pPr>
            <w:r w:rsidRPr="00894854">
              <w:rPr>
                <w:sz w:val="22"/>
                <w:szCs w:val="22"/>
              </w:rPr>
              <w:t>Цimax — предложение участника i о цене договора</w:t>
            </w:r>
          </w:p>
          <w:p w:rsidR="00E876D5" w:rsidRPr="00894854" w:rsidRDefault="00E876D5" w:rsidP="008262C3">
            <w:pPr>
              <w:jc w:val="both"/>
              <w:rPr>
                <w:sz w:val="22"/>
                <w:szCs w:val="22"/>
              </w:rPr>
            </w:pPr>
            <w:r w:rsidRPr="00894854">
              <w:rPr>
                <w:sz w:val="22"/>
                <w:szCs w:val="22"/>
              </w:rPr>
              <w:t>Цmax — начальная (максимальная) цена договора</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rsidR="00E876D5" w:rsidRDefault="00E876D5" w:rsidP="008262C3">
            <w:pPr>
              <w:jc w:val="both"/>
              <w:rPr>
                <w:sz w:val="22"/>
                <w:szCs w:val="22"/>
              </w:rPr>
            </w:pPr>
            <w:r w:rsidRPr="00894854">
              <w:rPr>
                <w:sz w:val="22"/>
                <w:szCs w:val="22"/>
              </w:rPr>
              <w:t>Цif — цена иностранных товаров, предлагаемых к поставке</w:t>
            </w:r>
          </w:p>
          <w:p w:rsidR="00E876D5" w:rsidRDefault="00E876D5" w:rsidP="008262C3">
            <w:pPr>
              <w:jc w:val="both"/>
              <w:rPr>
                <w:sz w:val="22"/>
                <w:szCs w:val="22"/>
              </w:rPr>
            </w:pPr>
          </w:p>
          <w:p w:rsidR="00E876D5" w:rsidRDefault="00E876D5" w:rsidP="008262C3">
            <w:pPr>
              <w:jc w:val="center"/>
              <w:rPr>
                <w:sz w:val="22"/>
                <w:szCs w:val="22"/>
              </w:rPr>
            </w:pPr>
            <w:r w:rsidRPr="00894854">
              <w:rPr>
                <w:sz w:val="22"/>
                <w:szCs w:val="22"/>
              </w:rPr>
              <w:t>Цir = Цiед × Vir</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rsidR="00E876D5" w:rsidRDefault="00E876D5" w:rsidP="008262C3">
            <w:pPr>
              <w:jc w:val="both"/>
              <w:rPr>
                <w:sz w:val="22"/>
                <w:szCs w:val="22"/>
              </w:rPr>
            </w:pPr>
          </w:p>
          <w:p w:rsidR="00E876D5" w:rsidRPr="00894854" w:rsidRDefault="00E876D5" w:rsidP="008262C3">
            <w:pPr>
              <w:jc w:val="center"/>
              <w:rPr>
                <w:sz w:val="22"/>
                <w:szCs w:val="22"/>
              </w:rPr>
            </w:pPr>
            <w:r w:rsidRPr="00894854">
              <w:rPr>
                <w:sz w:val="22"/>
                <w:szCs w:val="22"/>
              </w:rPr>
              <w:t>Цif = Цiед × Vif</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rsidR="00E876D5" w:rsidRDefault="00E876D5" w:rsidP="008262C3">
            <w:pPr>
              <w:jc w:val="both"/>
              <w:rPr>
                <w:sz w:val="22"/>
                <w:szCs w:val="22"/>
              </w:rPr>
            </w:pPr>
          </w:p>
          <w:p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rsidR="00E876D5" w:rsidRDefault="00E876D5" w:rsidP="008262C3">
            <w:pPr>
              <w:jc w:val="both"/>
              <w:rPr>
                <w:sz w:val="22"/>
                <w:szCs w:val="22"/>
              </w:rPr>
            </w:pPr>
          </w:p>
          <w:p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rsidR="00E876D5" w:rsidRDefault="00E876D5" w:rsidP="008262C3">
            <w:pPr>
              <w:keepLines/>
              <w:widowControl w:val="0"/>
              <w:suppressLineNumbers/>
              <w:suppressAutoHyphens/>
              <w:jc w:val="both"/>
              <w:rPr>
                <w:sz w:val="22"/>
                <w:szCs w:val="22"/>
              </w:rPr>
            </w:pPr>
            <w:r>
              <w:rPr>
                <w:sz w:val="22"/>
                <w:szCs w:val="22"/>
              </w:rPr>
              <w:t>Обеспечение заявки:</w:t>
            </w:r>
          </w:p>
          <w:p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rsidR="00E876D5" w:rsidRDefault="00E876D5" w:rsidP="008262C3">
            <w:pPr>
              <w:tabs>
                <w:tab w:val="left" w:pos="0"/>
              </w:tabs>
              <w:autoSpaceDE/>
              <w:autoSpaceDN/>
              <w:ind w:right="132" w:firstLine="346"/>
              <w:jc w:val="both"/>
              <w:rPr>
                <w:sz w:val="22"/>
                <w:szCs w:val="22"/>
              </w:rPr>
            </w:pPr>
          </w:p>
          <w:p w:rsidR="00E876D5" w:rsidRPr="00AC5B37" w:rsidRDefault="00E876D5" w:rsidP="008262C3">
            <w:pPr>
              <w:tabs>
                <w:tab w:val="left" w:pos="0"/>
              </w:tabs>
              <w:autoSpaceDE/>
              <w:autoSpaceDN/>
              <w:ind w:right="132" w:firstLine="346"/>
              <w:jc w:val="both"/>
              <w:rPr>
                <w:sz w:val="22"/>
                <w:szCs w:val="22"/>
              </w:rPr>
            </w:pPr>
            <w:r w:rsidRPr="00AC5B37">
              <w:rPr>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rsidR="00E876D5" w:rsidRPr="00806AF5" w:rsidRDefault="00E876D5" w:rsidP="008262C3">
            <w:pPr>
              <w:tabs>
                <w:tab w:val="left" w:pos="0"/>
              </w:tabs>
              <w:autoSpaceDE/>
              <w:autoSpaceDN/>
              <w:ind w:right="132" w:firstLine="346"/>
              <w:jc w:val="both"/>
              <w:rPr>
                <w:sz w:val="22"/>
                <w:szCs w:val="22"/>
              </w:rPr>
            </w:pP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rsidR="00E876D5" w:rsidRDefault="00E876D5" w:rsidP="008262C3">
            <w:pPr>
              <w:keepLines/>
              <w:widowControl w:val="0"/>
              <w:suppressLineNumbers/>
              <w:suppressAutoHyphens/>
              <w:jc w:val="both"/>
              <w:rPr>
                <w:sz w:val="22"/>
                <w:szCs w:val="22"/>
              </w:rPr>
            </w:pPr>
          </w:p>
          <w:p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C108E6" w:rsidRPr="00C108E6">
              <w:rPr>
                <w:b/>
                <w:sz w:val="21"/>
                <w:szCs w:val="21"/>
              </w:rPr>
              <w:t>211 136 (двести одиннадцать тысяч сто т</w:t>
            </w:r>
            <w:r w:rsidR="00C108E6">
              <w:rPr>
                <w:b/>
                <w:sz w:val="21"/>
                <w:szCs w:val="21"/>
              </w:rPr>
              <w:t>ридцать шесть) рублей 40 копеек</w:t>
            </w:r>
            <w:r w:rsidRPr="00E54806">
              <w:rPr>
                <w:b/>
                <w:sz w:val="22"/>
                <w:szCs w:val="22"/>
              </w:rPr>
              <w:t xml:space="preserve">. </w:t>
            </w:r>
          </w:p>
          <w:p w:rsidR="00E876D5" w:rsidRDefault="00E876D5" w:rsidP="008262C3">
            <w:pPr>
              <w:tabs>
                <w:tab w:val="left" w:pos="0"/>
              </w:tabs>
              <w:autoSpaceDE/>
              <w:autoSpaceDN/>
              <w:ind w:right="132"/>
              <w:jc w:val="both"/>
              <w:rPr>
                <w:sz w:val="22"/>
                <w:szCs w:val="22"/>
              </w:rPr>
            </w:pPr>
          </w:p>
          <w:p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rsidR="0014207B" w:rsidRPr="0014207B" w:rsidRDefault="0014207B" w:rsidP="0014207B">
            <w:pPr>
              <w:keepLines/>
              <w:widowControl w:val="0"/>
              <w:suppressLineNumbers/>
              <w:suppressAutoHyphens/>
              <w:jc w:val="both"/>
              <w:rPr>
                <w:sz w:val="22"/>
                <w:szCs w:val="22"/>
              </w:rPr>
            </w:pPr>
            <w:r w:rsidRPr="0014207B">
              <w:rPr>
                <w:sz w:val="22"/>
                <w:szCs w:val="22"/>
              </w:rPr>
              <w:t>УФК по Московской области  (Муниципальное Автономное общеобразо</w:t>
            </w:r>
            <w:r w:rsidR="00C108E6">
              <w:rPr>
                <w:sz w:val="22"/>
                <w:szCs w:val="22"/>
              </w:rPr>
              <w:t>вательное учреждение Селятинская</w:t>
            </w:r>
            <w:r w:rsidRPr="0014207B">
              <w:rPr>
                <w:sz w:val="22"/>
                <w:szCs w:val="22"/>
              </w:rPr>
              <w:t xml:space="preserve"> средняя общеобразов</w:t>
            </w:r>
            <w:r w:rsidR="00C108E6">
              <w:rPr>
                <w:sz w:val="22"/>
                <w:szCs w:val="22"/>
              </w:rPr>
              <w:t>ательная школа №1 л/с 30486Z3971</w:t>
            </w:r>
            <w:r w:rsidRPr="0014207B">
              <w:rPr>
                <w:sz w:val="22"/>
                <w:szCs w:val="22"/>
              </w:rPr>
              <w:t>0)</w:t>
            </w:r>
          </w:p>
          <w:p w:rsidR="00C108E6" w:rsidRDefault="0014207B" w:rsidP="0014207B">
            <w:pPr>
              <w:keepLines/>
              <w:widowControl w:val="0"/>
              <w:suppressLineNumbers/>
              <w:suppressAutoHyphens/>
              <w:jc w:val="both"/>
              <w:rPr>
                <w:b/>
                <w:bCs/>
                <w:sz w:val="22"/>
                <w:szCs w:val="22"/>
              </w:rPr>
            </w:pPr>
            <w:r w:rsidRPr="0014207B">
              <w:rPr>
                <w:sz w:val="22"/>
                <w:szCs w:val="22"/>
              </w:rPr>
              <w:t>Расчетный счет</w:t>
            </w:r>
            <w:r w:rsidRPr="0014207B">
              <w:rPr>
                <w:b/>
                <w:bCs/>
                <w:sz w:val="22"/>
                <w:szCs w:val="22"/>
              </w:rPr>
              <w:t xml:space="preserve"> </w:t>
            </w:r>
            <w:r w:rsidR="00C108E6" w:rsidRPr="00C108E6">
              <w:rPr>
                <w:b/>
                <w:bCs/>
                <w:sz w:val="22"/>
                <w:szCs w:val="22"/>
              </w:rPr>
              <w:t>40701810345251001337</w:t>
            </w:r>
          </w:p>
          <w:p w:rsidR="0014207B" w:rsidRPr="0014207B" w:rsidRDefault="0014207B" w:rsidP="0014207B">
            <w:pPr>
              <w:keepLines/>
              <w:widowControl w:val="0"/>
              <w:suppressLineNumbers/>
              <w:suppressAutoHyphens/>
              <w:jc w:val="both"/>
              <w:rPr>
                <w:b/>
                <w:sz w:val="22"/>
                <w:szCs w:val="22"/>
              </w:rPr>
            </w:pPr>
            <w:bookmarkStart w:id="29" w:name="_GoBack"/>
            <w:bookmarkEnd w:id="29"/>
            <w:r w:rsidRPr="0014207B">
              <w:rPr>
                <w:sz w:val="22"/>
                <w:szCs w:val="22"/>
              </w:rPr>
              <w:t>Главное Управление  Банка России по Центральному Федеральному округу</w:t>
            </w:r>
            <w:r w:rsidRPr="0014207B">
              <w:rPr>
                <w:b/>
                <w:sz w:val="22"/>
                <w:szCs w:val="22"/>
              </w:rPr>
              <w:t xml:space="preserve"> </w:t>
            </w:r>
          </w:p>
          <w:p w:rsidR="0014207B" w:rsidRPr="0014207B" w:rsidRDefault="0014207B" w:rsidP="0014207B">
            <w:pPr>
              <w:keepLines/>
              <w:widowControl w:val="0"/>
              <w:suppressLineNumbers/>
              <w:suppressAutoHyphens/>
              <w:jc w:val="both"/>
              <w:rPr>
                <w:b/>
                <w:bCs/>
                <w:sz w:val="22"/>
                <w:szCs w:val="22"/>
              </w:rPr>
            </w:pPr>
            <w:r w:rsidRPr="0014207B">
              <w:rPr>
                <w:b/>
                <w:sz w:val="22"/>
                <w:szCs w:val="22"/>
              </w:rPr>
              <w:t xml:space="preserve">БИК          </w:t>
            </w:r>
            <w:r w:rsidRPr="0014207B">
              <w:rPr>
                <w:b/>
                <w:bCs/>
                <w:sz w:val="22"/>
                <w:szCs w:val="22"/>
              </w:rPr>
              <w:t xml:space="preserve">044525000 </w:t>
            </w:r>
          </w:p>
          <w:p w:rsidR="0014207B" w:rsidRPr="0014207B" w:rsidRDefault="0014207B" w:rsidP="0014207B">
            <w:pPr>
              <w:keepLines/>
              <w:widowControl w:val="0"/>
              <w:suppressLineNumbers/>
              <w:suppressAutoHyphens/>
              <w:jc w:val="both"/>
              <w:rPr>
                <w:sz w:val="22"/>
                <w:szCs w:val="22"/>
              </w:rPr>
            </w:pPr>
          </w:p>
          <w:p w:rsidR="0014207B" w:rsidRPr="0014207B" w:rsidRDefault="00C108E6" w:rsidP="0014207B">
            <w:pPr>
              <w:keepLines/>
              <w:widowControl w:val="0"/>
              <w:suppressLineNumbers/>
              <w:suppressAutoHyphens/>
              <w:jc w:val="both"/>
              <w:rPr>
                <w:b/>
                <w:bCs/>
                <w:sz w:val="22"/>
                <w:szCs w:val="22"/>
              </w:rPr>
            </w:pPr>
            <w:r>
              <w:rPr>
                <w:b/>
                <w:bCs/>
                <w:sz w:val="22"/>
                <w:szCs w:val="22"/>
              </w:rPr>
              <w:t>ИНН 5030032457</w:t>
            </w:r>
          </w:p>
          <w:p w:rsidR="0014207B" w:rsidRPr="0014207B" w:rsidRDefault="0014207B" w:rsidP="0014207B">
            <w:pPr>
              <w:keepLines/>
              <w:widowControl w:val="0"/>
              <w:suppressLineNumbers/>
              <w:suppressAutoHyphens/>
              <w:jc w:val="both"/>
              <w:rPr>
                <w:sz w:val="22"/>
                <w:szCs w:val="22"/>
              </w:rPr>
            </w:pPr>
            <w:r w:rsidRPr="0014207B">
              <w:rPr>
                <w:b/>
                <w:bCs/>
                <w:sz w:val="22"/>
                <w:szCs w:val="22"/>
              </w:rPr>
              <w:t>КПП  503001001</w:t>
            </w:r>
          </w:p>
          <w:p w:rsidR="0014207B" w:rsidRPr="0014207B" w:rsidRDefault="0014207B" w:rsidP="0014207B">
            <w:pPr>
              <w:keepLines/>
              <w:widowControl w:val="0"/>
              <w:suppressLineNumbers/>
              <w:suppressAutoHyphens/>
              <w:jc w:val="both"/>
              <w:rPr>
                <w:b/>
                <w:bCs/>
                <w:sz w:val="22"/>
                <w:szCs w:val="22"/>
              </w:rPr>
            </w:pPr>
            <w:r w:rsidRPr="0014207B">
              <w:rPr>
                <w:b/>
                <w:sz w:val="22"/>
                <w:szCs w:val="22"/>
              </w:rPr>
              <w:t xml:space="preserve">БИК   </w:t>
            </w:r>
            <w:r w:rsidRPr="0014207B">
              <w:rPr>
                <w:b/>
                <w:bCs/>
                <w:sz w:val="22"/>
                <w:szCs w:val="22"/>
              </w:rPr>
              <w:t>044525000</w:t>
            </w:r>
          </w:p>
          <w:p w:rsidR="0014207B" w:rsidRPr="0014207B" w:rsidRDefault="0014207B" w:rsidP="0014207B">
            <w:pPr>
              <w:keepLines/>
              <w:widowControl w:val="0"/>
              <w:suppressLineNumbers/>
              <w:suppressAutoHyphens/>
              <w:jc w:val="both"/>
              <w:rPr>
                <w:b/>
                <w:bCs/>
                <w:sz w:val="22"/>
                <w:szCs w:val="22"/>
              </w:rPr>
            </w:pPr>
          </w:p>
          <w:p w:rsidR="0014207B" w:rsidRPr="0014207B" w:rsidRDefault="0014207B" w:rsidP="0014207B">
            <w:pPr>
              <w:keepLines/>
              <w:widowControl w:val="0"/>
              <w:suppressLineNumbers/>
              <w:suppressAutoHyphens/>
              <w:jc w:val="both"/>
              <w:rPr>
                <w:b/>
                <w:bCs/>
                <w:sz w:val="22"/>
                <w:szCs w:val="22"/>
              </w:rPr>
            </w:pPr>
            <w:r w:rsidRPr="0014207B">
              <w:rPr>
                <w:b/>
                <w:bCs/>
                <w:sz w:val="22"/>
                <w:szCs w:val="22"/>
              </w:rPr>
              <w:t xml:space="preserve">КБК 00000000000000000130                  </w:t>
            </w:r>
          </w:p>
          <w:p w:rsidR="00E876D5" w:rsidRDefault="002A2929" w:rsidP="008262C3">
            <w:pPr>
              <w:keepLines/>
              <w:widowControl w:val="0"/>
              <w:suppressLineNumbers/>
              <w:suppressAutoHyphens/>
              <w:jc w:val="both"/>
              <w:rPr>
                <w:sz w:val="22"/>
                <w:szCs w:val="22"/>
              </w:rPr>
            </w:pPr>
            <w:r>
              <w:rPr>
                <w:b/>
                <w:bCs/>
                <w:sz w:val="22"/>
                <w:szCs w:val="22"/>
              </w:rPr>
              <w:t>ОКТМО 46750000</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5982" w:type="dxa"/>
            <w:shd w:val="clear" w:color="auto" w:fill="auto"/>
          </w:tcPr>
          <w:p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rsidTr="008262C3">
        <w:trPr>
          <w:trHeight w:val="20"/>
        </w:trPr>
        <w:tc>
          <w:tcPr>
            <w:tcW w:w="709" w:type="dxa"/>
            <w:shd w:val="clear" w:color="auto" w:fill="auto"/>
          </w:tcPr>
          <w:p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5982" w:type="dxa"/>
            <w:shd w:val="clear" w:color="auto" w:fill="auto"/>
          </w:tcPr>
          <w:p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rsidR="00E876D5" w:rsidRDefault="00E876D5" w:rsidP="00E876D5"/>
    <w:p w:rsidR="00E876D5" w:rsidRDefault="00E876D5" w:rsidP="00E876D5"/>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14207B" w:rsidRDefault="0014207B" w:rsidP="00C40AA5">
      <w:pPr>
        <w:jc w:val="center"/>
        <w:rPr>
          <w:b/>
          <w:sz w:val="24"/>
          <w:szCs w:val="24"/>
        </w:rPr>
      </w:pPr>
    </w:p>
    <w:p w:rsidR="0014207B" w:rsidRDefault="0014207B" w:rsidP="00C40AA5">
      <w:pPr>
        <w:jc w:val="center"/>
        <w:rPr>
          <w:b/>
          <w:sz w:val="24"/>
          <w:szCs w:val="24"/>
        </w:rPr>
      </w:pPr>
    </w:p>
    <w:p w:rsidR="0014207B" w:rsidRDefault="0014207B" w:rsidP="00C40AA5">
      <w:pPr>
        <w:jc w:val="center"/>
        <w:rPr>
          <w:b/>
          <w:sz w:val="24"/>
          <w:szCs w:val="24"/>
        </w:rPr>
      </w:pPr>
    </w:p>
    <w:p w:rsidR="0014207B" w:rsidRDefault="0014207B" w:rsidP="00C40AA5">
      <w:pPr>
        <w:jc w:val="center"/>
        <w:rPr>
          <w:b/>
          <w:sz w:val="24"/>
          <w:szCs w:val="24"/>
        </w:rPr>
      </w:pPr>
    </w:p>
    <w:p w:rsidR="0014207B" w:rsidRDefault="0014207B"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7D5F25" w:rsidRDefault="007D5F25" w:rsidP="00C40AA5">
      <w:pPr>
        <w:jc w:val="center"/>
        <w:rPr>
          <w:b/>
          <w:sz w:val="24"/>
          <w:szCs w:val="24"/>
        </w:rPr>
      </w:pPr>
    </w:p>
    <w:p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rsidR="009F0630" w:rsidRDefault="009F0630" w:rsidP="00835641"/>
    <w:p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rsidTr="00515B7D">
        <w:trPr>
          <w:trHeight w:val="1477"/>
          <w:jc w:val="center"/>
        </w:trPr>
        <w:tc>
          <w:tcPr>
            <w:tcW w:w="555"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rsidR="009F0630" w:rsidRPr="007A6F12" w:rsidRDefault="009F0630" w:rsidP="00EA3DED">
            <w:pPr>
              <w:suppressLineNumbers/>
              <w:suppressAutoHyphens/>
              <w:spacing w:line="240" w:lineRule="exact"/>
              <w:contextualSpacing/>
              <w:jc w:val="center"/>
              <w:rPr>
                <w:b/>
              </w:rPr>
            </w:pPr>
            <w:r w:rsidRPr="007A6F12">
              <w:rPr>
                <w:b/>
              </w:rPr>
              <w:t>Значимость</w:t>
            </w:r>
          </w:p>
          <w:p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rsidTr="00515B7D">
        <w:trPr>
          <w:trHeight w:val="421"/>
          <w:jc w:val="center"/>
        </w:trPr>
        <w:tc>
          <w:tcPr>
            <w:tcW w:w="555" w:type="dxa"/>
            <w:shd w:val="clear" w:color="auto" w:fill="F2F2F2"/>
          </w:tcPr>
          <w:p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rsidTr="00515B7D">
        <w:trPr>
          <w:jc w:val="center"/>
        </w:trPr>
        <w:tc>
          <w:tcPr>
            <w:tcW w:w="555" w:type="dxa"/>
          </w:tcPr>
          <w:p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rsidR="009F0630" w:rsidRPr="007A6F12" w:rsidRDefault="009F0630" w:rsidP="00EA3DED">
            <w:pPr>
              <w:suppressLineNumbers/>
              <w:suppressAutoHyphens/>
              <w:spacing w:line="240" w:lineRule="exact"/>
              <w:contextualSpacing/>
              <w:jc w:val="center"/>
            </w:pPr>
          </w:p>
        </w:tc>
        <w:tc>
          <w:tcPr>
            <w:tcW w:w="1417" w:type="dxa"/>
            <w:vAlign w:val="center"/>
          </w:tcPr>
          <w:p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rsidTr="00515B7D">
        <w:trPr>
          <w:trHeight w:val="347"/>
          <w:jc w:val="center"/>
        </w:trPr>
        <w:tc>
          <w:tcPr>
            <w:tcW w:w="555" w:type="dxa"/>
            <w:shd w:val="clear" w:color="auto" w:fill="F2F2F2"/>
          </w:tcPr>
          <w:p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rsidTr="00515B7D">
        <w:trPr>
          <w:trHeight w:val="2777"/>
          <w:jc w:val="center"/>
        </w:trPr>
        <w:tc>
          <w:tcPr>
            <w:tcW w:w="555" w:type="dxa"/>
          </w:tcPr>
          <w:p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rsidR="00204998" w:rsidRPr="007A6F12" w:rsidRDefault="00204998" w:rsidP="00EA3DED">
            <w:pPr>
              <w:suppressLineNumbers/>
              <w:suppressAutoHyphens/>
              <w:contextualSpacing/>
              <w:jc w:val="center"/>
            </w:pPr>
            <w:r w:rsidRPr="007A6F12">
              <w:t>40%</w:t>
            </w:r>
          </w:p>
        </w:tc>
      </w:tr>
    </w:tbl>
    <w:p w:rsidR="00C40AA5" w:rsidRDefault="00C40AA5" w:rsidP="00515B7D">
      <w:pPr>
        <w:suppressLineNumbers/>
        <w:suppressAutoHyphens/>
        <w:spacing w:line="240" w:lineRule="exact"/>
        <w:contextualSpacing/>
        <w:rPr>
          <w:b/>
        </w:rPr>
      </w:pPr>
    </w:p>
    <w:p w:rsidR="00C40AA5" w:rsidRDefault="00C40AA5" w:rsidP="009F0630">
      <w:pPr>
        <w:suppressLineNumbers/>
        <w:suppressAutoHyphens/>
        <w:spacing w:line="240" w:lineRule="exact"/>
        <w:contextualSpacing/>
        <w:jc w:val="center"/>
        <w:rPr>
          <w:b/>
        </w:rPr>
      </w:pPr>
    </w:p>
    <w:p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rsidR="007875BC" w:rsidRPr="007875BC" w:rsidRDefault="007875BC" w:rsidP="00515B7D">
      <w:pPr>
        <w:suppressLineNumbers/>
        <w:suppressAutoHyphens/>
        <w:spacing w:line="240" w:lineRule="exact"/>
        <w:ind w:left="-426"/>
        <w:contextualSpacing/>
        <w:jc w:val="center"/>
        <w:rPr>
          <w:b/>
        </w:rPr>
      </w:pPr>
    </w:p>
    <w:p w:rsidR="009505B0" w:rsidRPr="00BF68B3" w:rsidRDefault="009505B0" w:rsidP="00515B7D">
      <w:pPr>
        <w:suppressLineNumbers/>
        <w:suppressAutoHyphens/>
        <w:ind w:left="-426" w:firstLine="709"/>
        <w:jc w:val="both"/>
        <w:outlineLvl w:val="1"/>
      </w:pPr>
      <w:bookmarkStart w:id="38" w:name="_Toc375898328"/>
      <w:bookmarkStart w:id="39" w:name="_Toc375898912"/>
      <w:bookmarkStart w:id="40" w:name="_Toc383519754"/>
      <w:bookmarkStart w:id="41" w:name="_Toc383519942"/>
      <w:bookmarkStart w:id="42"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rsidR="009505B0" w:rsidRPr="00BF68B3" w:rsidRDefault="009505B0" w:rsidP="00515B7D">
      <w:pPr>
        <w:suppressLineNumbers/>
        <w:suppressAutoHyphens/>
        <w:ind w:left="-426" w:firstLine="709"/>
        <w:outlineLvl w:val="1"/>
      </w:pPr>
    </w:p>
    <w:p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rsidR="009505B0" w:rsidRPr="00E36AE2" w:rsidRDefault="009505B0" w:rsidP="00515B7D">
      <w:pPr>
        <w:suppressLineNumbers/>
        <w:suppressAutoHyphens/>
        <w:ind w:left="-426"/>
        <w:jc w:val="center"/>
        <w:outlineLvl w:val="1"/>
      </w:pPr>
    </w:p>
    <w:p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9505B0" w:rsidRPr="00BF68B3" w:rsidRDefault="009505B0" w:rsidP="00515B7D">
      <w:pPr>
        <w:ind w:left="-426"/>
      </w:pPr>
    </w:p>
    <w:p w:rsidR="009505B0" w:rsidRPr="00BF68B3" w:rsidRDefault="009505B0" w:rsidP="00515B7D">
      <w:pPr>
        <w:ind w:left="-426" w:firstLine="709"/>
        <w:rPr>
          <w:b/>
        </w:rPr>
      </w:pPr>
      <w:r w:rsidRPr="00BF68B3">
        <w:rPr>
          <w:b/>
        </w:rPr>
        <w:t>1. СТОИМОСТНЫЕ КРИТЕРИИ.</w:t>
      </w:r>
    </w:p>
    <w:p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rsidR="009505B0" w:rsidRPr="00BF68B3" w:rsidRDefault="009505B0" w:rsidP="00515B7D">
      <w:pPr>
        <w:ind w:left="-426" w:firstLine="709"/>
      </w:pPr>
      <w:r w:rsidRPr="00BF68B3">
        <w:t>Величина значимости критерия: 60%</w:t>
      </w:r>
    </w:p>
    <w:p w:rsidR="009505B0" w:rsidRPr="00BF68B3" w:rsidRDefault="009505B0" w:rsidP="00515B7D">
      <w:pPr>
        <w:ind w:left="-426" w:firstLine="709"/>
      </w:pPr>
      <w:r w:rsidRPr="00BF68B3">
        <w:t>Коэффициент значимости критерия оценки: 0,6</w:t>
      </w:r>
    </w:p>
    <w:p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rsidR="009505B0" w:rsidRPr="00BF68B3" w:rsidRDefault="009505B0" w:rsidP="00515B7D">
      <w:pPr>
        <w:ind w:left="-426" w:firstLine="709"/>
      </w:pPr>
      <w:r w:rsidRPr="00BF68B3">
        <w:t>где:</w:t>
      </w:r>
    </w:p>
    <w:p w:rsidR="009505B0" w:rsidRPr="00BF68B3" w:rsidRDefault="009505B0" w:rsidP="00515B7D">
      <w:pPr>
        <w:ind w:left="-426" w:firstLine="709"/>
      </w:pPr>
      <w:r w:rsidRPr="00BF68B3">
        <w:t>Ц</w:t>
      </w:r>
      <w:r w:rsidRPr="00BF68B3">
        <w:rPr>
          <w:vertAlign w:val="subscript"/>
          <w:lang w:val="en-US"/>
        </w:rPr>
        <w:t>i</w:t>
      </w:r>
      <w:r w:rsidRPr="00BF68B3">
        <w:t xml:space="preserve"> – предложение участника закупки, заявка (предложение) которого оценивается;</w:t>
      </w:r>
    </w:p>
    <w:p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rsidR="009505B0" w:rsidRPr="00515B7D" w:rsidRDefault="009505B0" w:rsidP="00515B7D">
      <w:pPr>
        <w:ind w:left="-426" w:firstLine="709"/>
      </w:pPr>
    </w:p>
    <w:p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rsidR="009505B0" w:rsidRPr="00BF68B3" w:rsidRDefault="009505B0" w:rsidP="00515B7D">
      <w:pPr>
        <w:ind w:left="-426" w:firstLine="709"/>
      </w:pPr>
      <w:r w:rsidRPr="00BF68B3">
        <w:t>где:</w:t>
      </w:r>
    </w:p>
    <w:p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rsidR="009505B0" w:rsidRPr="00BF68B3" w:rsidRDefault="009505B0" w:rsidP="00515B7D">
      <w:pPr>
        <w:ind w:left="-426" w:firstLine="709"/>
      </w:pPr>
    </w:p>
    <w:p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rsidR="00515B7D" w:rsidRPr="002A2929" w:rsidRDefault="00515B7D" w:rsidP="00515B7D">
      <w:pPr>
        <w:ind w:left="-426"/>
        <w:jc w:val="center"/>
      </w:pPr>
    </w:p>
    <w:p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rsidR="009505B0" w:rsidRPr="00BF68B3" w:rsidRDefault="009505B0" w:rsidP="00515B7D">
      <w:pPr>
        <w:ind w:left="-426"/>
      </w:pPr>
    </w:p>
    <w:p w:rsidR="009505B0" w:rsidRPr="00BF68B3" w:rsidRDefault="009505B0" w:rsidP="00515B7D">
      <w:pPr>
        <w:ind w:left="-426" w:firstLine="709"/>
        <w:rPr>
          <w:b/>
        </w:rPr>
      </w:pPr>
      <w:r w:rsidRPr="00BF68B3">
        <w:rPr>
          <w:b/>
        </w:rPr>
        <w:t>2. НЕСТОИМОСТНЫЕ КРИТЕРИИ.</w:t>
      </w:r>
    </w:p>
    <w:p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rsidR="009505B0" w:rsidRPr="00BF68B3" w:rsidRDefault="009505B0" w:rsidP="00515B7D">
      <w:pPr>
        <w:ind w:left="-426" w:firstLine="709"/>
      </w:pPr>
      <w:r w:rsidRPr="00BF68B3">
        <w:t>Величина значимости критерия оценки: 40%</w:t>
      </w:r>
    </w:p>
    <w:p w:rsidR="009505B0" w:rsidRPr="00BF68B3" w:rsidRDefault="009505B0" w:rsidP="00515B7D">
      <w:pPr>
        <w:ind w:left="-426" w:firstLine="709"/>
      </w:pPr>
      <w:r w:rsidRPr="00BF68B3">
        <w:t>Коэффициент значимости критерия оценки: 0,4</w:t>
      </w:r>
    </w:p>
    <w:p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rsidR="009505B0" w:rsidRPr="00BF68B3" w:rsidRDefault="009505B0" w:rsidP="00515B7D">
      <w:pPr>
        <w:ind w:left="-426" w:firstLine="709"/>
      </w:pPr>
      <w:r w:rsidRPr="00BF68B3">
        <w:t xml:space="preserve">Коэффициент значимости показателя критерия оценки: </w:t>
      </w:r>
      <w:r>
        <w:t>1</w:t>
      </w:r>
    </w:p>
    <w:p w:rsidR="009505B0" w:rsidRDefault="009505B0" w:rsidP="00515B7D">
      <w:pPr>
        <w:ind w:left="-426" w:firstLine="709"/>
        <w:rPr>
          <w:rFonts w:eastAsia="Calibri"/>
          <w:bCs/>
          <w:iCs/>
        </w:rPr>
      </w:pPr>
    </w:p>
    <w:p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rsidR="001E5975" w:rsidRPr="001E5975" w:rsidRDefault="001E5975" w:rsidP="001E5975">
      <w:pPr>
        <w:ind w:left="-426" w:firstLine="709"/>
        <w:jc w:val="both"/>
        <w:rPr>
          <w:bCs/>
          <w:color w:val="000000" w:themeColor="text1"/>
        </w:rPr>
      </w:pPr>
      <w:r w:rsidRPr="001E5975">
        <w:rPr>
          <w:bCs/>
          <w:color w:val="000000" w:themeColor="text1"/>
        </w:rPr>
        <w:t>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rsidR="001E5975" w:rsidRPr="001E5975" w:rsidRDefault="001E5975" w:rsidP="001E5975">
      <w:pPr>
        <w:ind w:left="-426" w:firstLine="709"/>
        <w:jc w:val="both"/>
        <w:rPr>
          <w:bCs/>
          <w:color w:val="000000" w:themeColor="text1"/>
        </w:rPr>
      </w:pPr>
      <w:r w:rsidRPr="001E5975">
        <w:rPr>
          <w:bCs/>
          <w:color w:val="000000" w:themeColor="text1"/>
        </w:rPr>
        <w:t>Непредставление информации (сведений) оценивается в 0 баллов.</w:t>
      </w:r>
    </w:p>
    <w:p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rsidR="009505B0" w:rsidRPr="00830F51" w:rsidRDefault="001E5975" w:rsidP="001E5975">
      <w:pPr>
        <w:ind w:left="-426" w:firstLine="709"/>
        <w:jc w:val="both"/>
        <w:rPr>
          <w:rFonts w:eastAsia="Calibri"/>
          <w:bCs/>
          <w:iCs/>
        </w:rPr>
      </w:pPr>
      <w:r w:rsidRPr="001E5975">
        <w:rPr>
          <w:bCs/>
          <w:color w:val="000000" w:themeColor="text1"/>
        </w:rPr>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rsidR="001E5975" w:rsidRPr="00374DC6" w:rsidRDefault="001E5975" w:rsidP="001E5975">
      <w:pPr>
        <w:shd w:val="clear" w:color="auto" w:fill="FFFFFF"/>
        <w:spacing w:line="290" w:lineRule="atLeast"/>
        <w:ind w:firstLine="540"/>
        <w:jc w:val="both"/>
        <w:rPr>
          <w:color w:val="333333"/>
        </w:rPr>
      </w:pPr>
      <w:bookmarkStart w:id="43" w:name="dst100099"/>
      <w:bookmarkEnd w:id="43"/>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rsidR="001E5975" w:rsidRPr="00374DC6" w:rsidRDefault="001E5975" w:rsidP="001E5975">
      <w:pPr>
        <w:shd w:val="clear" w:color="auto" w:fill="FFFFFF"/>
        <w:spacing w:line="290" w:lineRule="atLeast"/>
        <w:ind w:firstLine="540"/>
        <w:jc w:val="both"/>
        <w:rPr>
          <w:color w:val="333333"/>
        </w:rPr>
      </w:pPr>
      <w:r w:rsidRPr="00374DC6">
        <w:rPr>
          <w:color w:val="333333"/>
        </w:rPr>
        <w:t> </w:t>
      </w:r>
    </w:p>
    <w:p w:rsidR="001E5975" w:rsidRPr="00374DC6" w:rsidRDefault="001E5975" w:rsidP="001E5975">
      <w:pPr>
        <w:shd w:val="clear" w:color="auto" w:fill="FFFFFF"/>
        <w:jc w:val="center"/>
        <w:rPr>
          <w:color w:val="333333"/>
          <w:lang w:val="en-US"/>
        </w:rPr>
      </w:pPr>
      <w:bookmarkStart w:id="44" w:name="dst100100"/>
      <w:bookmarkEnd w:id="44"/>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rsidR="001E5975" w:rsidRPr="00374DC6" w:rsidRDefault="001E5975" w:rsidP="001E5975">
      <w:pPr>
        <w:shd w:val="clear" w:color="auto" w:fill="FFFFFF"/>
        <w:spacing w:line="290" w:lineRule="atLeast"/>
        <w:ind w:firstLine="540"/>
        <w:jc w:val="both"/>
        <w:rPr>
          <w:color w:val="333333"/>
        </w:rPr>
      </w:pPr>
      <w:bookmarkStart w:id="45" w:name="dst100101"/>
      <w:bookmarkEnd w:id="45"/>
      <w:r w:rsidRPr="00374DC6">
        <w:rPr>
          <w:color w:val="333333"/>
        </w:rPr>
        <w:t>б) в случае если </w:t>
      </w:r>
      <w:r w:rsidRPr="00374DC6">
        <w:rPr>
          <w:noProof/>
          <w:color w:val="333333"/>
        </w:rPr>
        <w:drawing>
          <wp:inline distT="0" distB="0" distL="0" distR="0" wp14:anchorId="78426A80" wp14:editId="26FC9641">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rsidR="001E5975" w:rsidRPr="00374DC6" w:rsidRDefault="001E5975" w:rsidP="001E5975">
      <w:pPr>
        <w:shd w:val="clear" w:color="auto" w:fill="FFFFFF"/>
        <w:spacing w:line="290" w:lineRule="atLeast"/>
        <w:ind w:firstLine="540"/>
        <w:jc w:val="both"/>
        <w:rPr>
          <w:color w:val="333333"/>
        </w:rPr>
      </w:pPr>
      <w:r w:rsidRPr="00374DC6">
        <w:rPr>
          <w:color w:val="333333"/>
        </w:rPr>
        <w:t> </w:t>
      </w:r>
    </w:p>
    <w:p w:rsidR="001E5975" w:rsidRPr="00374DC6" w:rsidRDefault="001E5975" w:rsidP="001E5975">
      <w:pPr>
        <w:shd w:val="clear" w:color="auto" w:fill="FFFFFF"/>
        <w:jc w:val="center"/>
        <w:rPr>
          <w:color w:val="333333"/>
        </w:rPr>
      </w:pPr>
      <w:bookmarkStart w:id="46" w:name="dst100102"/>
      <w:bookmarkEnd w:id="46"/>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rsidR="001E5975" w:rsidRPr="00374DC6" w:rsidRDefault="001E5975" w:rsidP="001E5975">
      <w:pPr>
        <w:shd w:val="clear" w:color="auto" w:fill="FFFFFF"/>
        <w:spacing w:line="290" w:lineRule="atLeast"/>
        <w:ind w:firstLine="540"/>
        <w:jc w:val="both"/>
        <w:rPr>
          <w:color w:val="333333"/>
        </w:rPr>
      </w:pPr>
      <w:r w:rsidRPr="00374DC6">
        <w:rPr>
          <w:color w:val="333333"/>
        </w:rPr>
        <w:t> </w:t>
      </w:r>
    </w:p>
    <w:p w:rsidR="001E5975" w:rsidRPr="00374DC6" w:rsidRDefault="001E5975" w:rsidP="001E5975">
      <w:pPr>
        <w:shd w:val="clear" w:color="auto" w:fill="FFFFFF"/>
        <w:spacing w:line="290" w:lineRule="atLeast"/>
        <w:ind w:firstLine="540"/>
        <w:jc w:val="both"/>
        <w:rPr>
          <w:color w:val="333333"/>
        </w:rPr>
      </w:pPr>
      <w:bookmarkStart w:id="47" w:name="dst100103"/>
      <w:bookmarkEnd w:id="47"/>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rsidR="001E5975" w:rsidRPr="00374DC6" w:rsidRDefault="001E5975" w:rsidP="001E5975">
      <w:pPr>
        <w:shd w:val="clear" w:color="auto" w:fill="FFFFFF"/>
        <w:spacing w:line="290" w:lineRule="atLeast"/>
        <w:ind w:firstLine="540"/>
        <w:jc w:val="both"/>
        <w:rPr>
          <w:color w:val="333333"/>
        </w:rPr>
      </w:pPr>
      <w:bookmarkStart w:id="48" w:name="dst100104"/>
      <w:bookmarkEnd w:id="48"/>
      <w:r w:rsidRPr="00374DC6">
        <w:rPr>
          <w:color w:val="333333"/>
        </w:rPr>
        <w:t>где:</w:t>
      </w:r>
    </w:p>
    <w:p w:rsidR="001E5975" w:rsidRPr="00374DC6" w:rsidRDefault="001E5975" w:rsidP="001E5975">
      <w:pPr>
        <w:shd w:val="clear" w:color="auto" w:fill="FFFFFF"/>
        <w:spacing w:line="290" w:lineRule="atLeast"/>
        <w:ind w:firstLine="540"/>
        <w:jc w:val="both"/>
        <w:rPr>
          <w:color w:val="333333"/>
        </w:rPr>
      </w:pPr>
      <w:bookmarkStart w:id="49" w:name="dst100105"/>
      <w:bookmarkEnd w:id="49"/>
      <w:r w:rsidRPr="00374DC6">
        <w:rPr>
          <w:color w:val="333333"/>
        </w:rPr>
        <w:t>КЗ - коэффициент значимости показателя. В случае если используется один показатель, КЗ = 1;</w:t>
      </w:r>
    </w:p>
    <w:p w:rsidR="001E5975" w:rsidRPr="00374DC6" w:rsidRDefault="001E5975" w:rsidP="001E5975">
      <w:pPr>
        <w:shd w:val="clear" w:color="auto" w:fill="FFFFFF"/>
        <w:spacing w:line="290" w:lineRule="atLeast"/>
        <w:ind w:firstLine="540"/>
        <w:jc w:val="both"/>
        <w:rPr>
          <w:color w:val="333333"/>
        </w:rPr>
      </w:pPr>
      <w:bookmarkStart w:id="50" w:name="dst100106"/>
      <w:bookmarkEnd w:id="50"/>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rsidR="001E5975" w:rsidRPr="00374DC6" w:rsidRDefault="001E5975" w:rsidP="001E5975">
      <w:pPr>
        <w:shd w:val="clear" w:color="auto" w:fill="FFFFFF"/>
        <w:spacing w:line="290" w:lineRule="atLeast"/>
        <w:ind w:firstLine="540"/>
        <w:jc w:val="both"/>
        <w:rPr>
          <w:color w:val="333333"/>
        </w:rPr>
      </w:pPr>
      <w:bookmarkStart w:id="51" w:name="dst100107"/>
      <w:bookmarkEnd w:id="51"/>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rsidR="001E5975" w:rsidRPr="00374DC6" w:rsidRDefault="001E5975" w:rsidP="001E5975">
      <w:pPr>
        <w:shd w:val="clear" w:color="auto" w:fill="FFFFFF"/>
        <w:spacing w:line="290" w:lineRule="atLeast"/>
        <w:ind w:firstLine="540"/>
        <w:jc w:val="both"/>
        <w:rPr>
          <w:color w:val="333333"/>
        </w:rPr>
      </w:pPr>
      <w:bookmarkStart w:id="52" w:name="dst100108"/>
      <w:bookmarkEnd w:id="52"/>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rsidR="009505B0" w:rsidRPr="00BF68B3" w:rsidRDefault="001E5975" w:rsidP="001E5975">
      <w:pPr>
        <w:ind w:left="-426"/>
        <w:jc w:val="both"/>
        <w:rPr>
          <w:b/>
        </w:rPr>
      </w:pPr>
      <w:bookmarkStart w:id="53" w:name="dst100109"/>
      <w:bookmarkEnd w:id="53"/>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1E5975" w:rsidRDefault="001E5975" w:rsidP="001E5975">
      <w:pPr>
        <w:ind w:left="-426"/>
        <w:jc w:val="both"/>
        <w:rPr>
          <w:b/>
        </w:rPr>
      </w:pPr>
    </w:p>
    <w:p w:rsidR="009505B0" w:rsidRPr="00BF68B3" w:rsidRDefault="009505B0" w:rsidP="001E5975">
      <w:pPr>
        <w:ind w:left="-426"/>
        <w:jc w:val="center"/>
        <w:rPr>
          <w:b/>
        </w:rPr>
      </w:pPr>
      <w:r w:rsidRPr="00BF68B3">
        <w:rPr>
          <w:b/>
        </w:rPr>
        <w:t>Итоговый рейтинг заявки</w:t>
      </w:r>
    </w:p>
    <w:p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rsidR="009505B0" w:rsidRPr="00BF68B3" w:rsidRDefault="009505B0" w:rsidP="00515B7D">
      <w:pPr>
        <w:suppressLineNumbers/>
        <w:suppressAutoHyphens/>
        <w:ind w:left="-426"/>
        <w:jc w:val="center"/>
        <w:outlineLvl w:val="1"/>
      </w:pPr>
    </w:p>
    <w:p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rsidR="009505B0" w:rsidRPr="00BF68B3" w:rsidRDefault="009505B0" w:rsidP="00515B7D">
      <w:pPr>
        <w:suppressLineNumbers/>
        <w:suppressAutoHyphens/>
        <w:ind w:left="-426"/>
        <w:jc w:val="center"/>
        <w:outlineLvl w:val="1"/>
      </w:pPr>
    </w:p>
    <w:p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9505B0" w:rsidRDefault="009505B0" w:rsidP="009505B0">
      <w:pPr>
        <w:suppressLineNumbers/>
        <w:suppressAutoHyphens/>
        <w:ind w:left="8364"/>
        <w:outlineLvl w:val="1"/>
      </w:pPr>
    </w:p>
    <w:p w:rsidR="009505B0" w:rsidRDefault="009505B0" w:rsidP="009505B0">
      <w:pPr>
        <w:suppressLineNumbers/>
        <w:suppressAutoHyphens/>
        <w:ind w:left="8364"/>
        <w:outlineLvl w:val="1"/>
      </w:pPr>
    </w:p>
    <w:p w:rsidR="009505B0" w:rsidRDefault="009505B0" w:rsidP="009505B0">
      <w:pPr>
        <w:suppressLineNumbers/>
        <w:suppressAutoHyphens/>
        <w:ind w:left="8364"/>
        <w:outlineLvl w:val="1"/>
      </w:pPr>
    </w:p>
    <w:p w:rsidR="009505B0" w:rsidRPr="00BF68B3" w:rsidRDefault="009505B0" w:rsidP="00515B7D">
      <w:pPr>
        <w:suppressLineNumbers/>
        <w:suppressAutoHyphens/>
        <w:ind w:left="7938"/>
        <w:outlineLvl w:val="1"/>
      </w:pPr>
      <w:r>
        <w:t>Приложение 1</w:t>
      </w:r>
    </w:p>
    <w:p w:rsidR="009505B0" w:rsidRPr="00BF68B3" w:rsidRDefault="009505B0" w:rsidP="009505B0">
      <w:pPr>
        <w:tabs>
          <w:tab w:val="left" w:pos="2775"/>
        </w:tabs>
      </w:pPr>
    </w:p>
    <w:p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b/>
                <w:color w:val="000000"/>
                <w:sz w:val="18"/>
                <w:szCs w:val="18"/>
                <w:lang w:eastAsia="en-US"/>
              </w:rPr>
            </w:pPr>
          </w:p>
        </w:tc>
      </w:tr>
      <w:tr w:rsidR="009505B0" w:rsidRPr="00BF68B3"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r>
      <w:tr w:rsidR="009505B0" w:rsidRPr="00BF68B3"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sz w:val="18"/>
                <w:szCs w:val="18"/>
                <w:lang w:eastAsia="en-US"/>
              </w:rPr>
            </w:pPr>
          </w:p>
        </w:tc>
      </w:tr>
      <w:tr w:rsidR="009505B0" w:rsidRPr="00BF68B3"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05B0" w:rsidRPr="00BF68B3" w:rsidRDefault="009505B0" w:rsidP="00C108E6">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505B0" w:rsidRPr="00BF68B3" w:rsidRDefault="009505B0" w:rsidP="00C108E6">
            <w:pPr>
              <w:jc w:val="center"/>
              <w:rPr>
                <w:rFonts w:eastAsia="Arial Unicode MS"/>
                <w:color w:val="000000"/>
                <w:lang w:eastAsia="en-US"/>
              </w:rPr>
            </w:pPr>
          </w:p>
        </w:tc>
      </w:tr>
      <w:tr w:rsidR="009505B0"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rsidR="009505B0" w:rsidRDefault="009505B0" w:rsidP="00C108E6">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rsidR="009505B0" w:rsidRDefault="009505B0" w:rsidP="00C108E6">
            <w:pPr>
              <w:jc w:val="center"/>
              <w:rPr>
                <w:rFonts w:eastAsia="Arial Unicode MS"/>
                <w:color w:val="000000"/>
                <w:lang w:eastAsia="en-US"/>
              </w:rPr>
            </w:pPr>
          </w:p>
        </w:tc>
      </w:tr>
    </w:tbl>
    <w:p w:rsidR="009F0630" w:rsidRDefault="009F0630" w:rsidP="009F0630">
      <w:pPr>
        <w:widowControl w:val="0"/>
        <w:adjustRightInd w:val="0"/>
      </w:pPr>
    </w:p>
    <w:p w:rsidR="00515B7D" w:rsidRDefault="00515B7D" w:rsidP="009F0630">
      <w:pPr>
        <w:widowControl w:val="0"/>
        <w:adjustRightInd w:val="0"/>
      </w:pPr>
    </w:p>
    <w:p w:rsidR="00515B7D" w:rsidRDefault="00515B7D" w:rsidP="009F0630">
      <w:pPr>
        <w:widowControl w:val="0"/>
        <w:adjustRightInd w:val="0"/>
      </w:pPr>
    </w:p>
    <w:p w:rsidR="00515B7D" w:rsidRDefault="00515B7D" w:rsidP="009F0630">
      <w:pPr>
        <w:widowControl w:val="0"/>
        <w:adjustRightInd w:val="0"/>
      </w:pPr>
    </w:p>
    <w:p w:rsidR="008A4042" w:rsidRDefault="008A4042" w:rsidP="009F0630">
      <w:pPr>
        <w:widowControl w:val="0"/>
        <w:adjustRightInd w:val="0"/>
      </w:pPr>
    </w:p>
    <w:p w:rsidR="00515B7D" w:rsidRDefault="00515B7D" w:rsidP="009F0630">
      <w:pPr>
        <w:widowControl w:val="0"/>
        <w:adjustRightInd w:val="0"/>
      </w:pPr>
    </w:p>
    <w:p w:rsidR="00515B7D" w:rsidRDefault="00515B7D" w:rsidP="00515B7D"/>
    <w:p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rsidR="00515B7D" w:rsidRDefault="00515B7D" w:rsidP="00515B7D">
      <w:pPr>
        <w:rPr>
          <w:b/>
        </w:rPr>
      </w:pPr>
    </w:p>
    <w:p w:rsidR="00515B7D" w:rsidRDefault="00515B7D" w:rsidP="00515B7D">
      <w:pPr>
        <w:rPr>
          <w:b/>
        </w:rPr>
      </w:pPr>
    </w:p>
    <w:p w:rsidR="00515B7D" w:rsidRPr="00AB6A95" w:rsidRDefault="00515B7D" w:rsidP="00515B7D">
      <w:pPr>
        <w:rPr>
          <w:b/>
          <w:i/>
          <w:sz w:val="24"/>
          <w:szCs w:val="24"/>
        </w:rPr>
      </w:pPr>
      <w:r w:rsidRPr="00AB6A95">
        <w:rPr>
          <w:b/>
          <w:i/>
          <w:sz w:val="24"/>
          <w:szCs w:val="24"/>
        </w:rPr>
        <w:t>Прикладывается в виде отдельного документа</w:t>
      </w:r>
    </w:p>
    <w:p w:rsidR="00515B7D" w:rsidRPr="00D67590" w:rsidRDefault="00515B7D" w:rsidP="00515B7D">
      <w:pPr>
        <w:rPr>
          <w:b/>
        </w:rPr>
      </w:pPr>
    </w:p>
    <w:p w:rsidR="00515B7D" w:rsidRPr="009301A8" w:rsidRDefault="00515B7D" w:rsidP="00515B7D">
      <w:pPr>
        <w:rPr>
          <w:b/>
        </w:rPr>
      </w:pPr>
    </w:p>
    <w:p w:rsidR="00515B7D" w:rsidRPr="00BD6661" w:rsidRDefault="00515B7D" w:rsidP="00515B7D">
      <w:pPr>
        <w:rPr>
          <w:b/>
        </w:rPr>
      </w:pPr>
    </w:p>
    <w:p w:rsidR="00515B7D" w:rsidRPr="00AB6A95" w:rsidRDefault="00515B7D" w:rsidP="00515B7D">
      <w:pPr>
        <w:pStyle w:val="a8"/>
        <w:numPr>
          <w:ilvl w:val="0"/>
          <w:numId w:val="36"/>
        </w:numPr>
        <w:jc w:val="center"/>
        <w:outlineLvl w:val="0"/>
        <w:rPr>
          <w:b/>
          <w:lang w:val="en-US"/>
        </w:rPr>
      </w:pPr>
      <w:r>
        <w:rPr>
          <w:b/>
        </w:rPr>
        <w:t>Проект договора</w:t>
      </w:r>
    </w:p>
    <w:p w:rsidR="00515B7D" w:rsidRDefault="00515B7D" w:rsidP="00515B7D">
      <w:pPr>
        <w:ind w:left="360"/>
        <w:rPr>
          <w:b/>
          <w:lang w:val="en-US"/>
        </w:rPr>
      </w:pPr>
    </w:p>
    <w:p w:rsidR="00515B7D" w:rsidRDefault="00515B7D" w:rsidP="00515B7D">
      <w:pPr>
        <w:ind w:left="360"/>
        <w:rPr>
          <w:b/>
          <w:lang w:val="en-US"/>
        </w:rPr>
      </w:pPr>
    </w:p>
    <w:p w:rsidR="00515B7D" w:rsidRPr="00AB6A95" w:rsidRDefault="00515B7D" w:rsidP="00515B7D">
      <w:pPr>
        <w:rPr>
          <w:b/>
          <w:i/>
          <w:sz w:val="24"/>
          <w:szCs w:val="24"/>
        </w:rPr>
      </w:pPr>
      <w:r w:rsidRPr="00AB6A95">
        <w:rPr>
          <w:b/>
          <w:i/>
          <w:sz w:val="24"/>
          <w:szCs w:val="24"/>
        </w:rPr>
        <w:t>Прикладывается в виде отдельного документа</w:t>
      </w:r>
    </w:p>
    <w:p w:rsidR="00515B7D" w:rsidRPr="009301A8" w:rsidRDefault="00515B7D" w:rsidP="00515B7D">
      <w:pPr>
        <w:rPr>
          <w:b/>
        </w:rPr>
      </w:pPr>
    </w:p>
    <w:p w:rsidR="00515B7D" w:rsidRPr="009301A8" w:rsidRDefault="00515B7D" w:rsidP="00515B7D">
      <w:pPr>
        <w:rPr>
          <w:b/>
        </w:rPr>
      </w:pPr>
    </w:p>
    <w:p w:rsidR="00515B7D" w:rsidRPr="009301A8" w:rsidRDefault="00515B7D" w:rsidP="00515B7D">
      <w:pPr>
        <w:rPr>
          <w:b/>
        </w:rPr>
      </w:pPr>
    </w:p>
    <w:p w:rsidR="00515B7D" w:rsidRPr="009301A8" w:rsidRDefault="00515B7D" w:rsidP="00515B7D">
      <w:pPr>
        <w:ind w:left="360"/>
        <w:rPr>
          <w:b/>
        </w:rPr>
      </w:pPr>
    </w:p>
    <w:p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rsidR="00515B7D" w:rsidRDefault="00515B7D" w:rsidP="00515B7D">
      <w:pPr>
        <w:ind w:left="360"/>
        <w:rPr>
          <w:b/>
          <w:lang w:val="en-US"/>
        </w:rPr>
      </w:pPr>
    </w:p>
    <w:p w:rsidR="00515B7D" w:rsidRDefault="00515B7D" w:rsidP="00515B7D">
      <w:pPr>
        <w:ind w:left="360"/>
        <w:rPr>
          <w:b/>
          <w:lang w:val="en-US"/>
        </w:rPr>
      </w:pPr>
    </w:p>
    <w:p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rsidR="007C7238" w:rsidRDefault="007C7238" w:rsidP="007C7238">
      <w:pPr>
        <w:rPr>
          <w:b/>
        </w:rPr>
      </w:pPr>
      <w:bookmarkStart w:id="54" w:name="_Toc363543599"/>
      <w:bookmarkStart w:id="55" w:name="_Toc363544513"/>
      <w:bookmarkStart w:id="56" w:name="_Toc363547565"/>
      <w:bookmarkStart w:id="57" w:name="_Toc375898336"/>
      <w:bookmarkEnd w:id="54"/>
      <w:bookmarkEnd w:id="55"/>
      <w:bookmarkEnd w:id="56"/>
      <w:bookmarkEnd w:id="57"/>
    </w:p>
    <w:sectPr w:rsidR="007C7238" w:rsidSect="00515B7D">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8E6" w:rsidRDefault="00C108E6">
      <w:r>
        <w:separator/>
      </w:r>
    </w:p>
  </w:endnote>
  <w:endnote w:type="continuationSeparator" w:id="0">
    <w:p w:rsidR="00C108E6" w:rsidRDefault="00C1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E6" w:rsidRDefault="00C108E6"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108E6" w:rsidRDefault="00C108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8E6" w:rsidRDefault="00C108E6">
      <w:r>
        <w:separator/>
      </w:r>
    </w:p>
  </w:footnote>
  <w:footnote w:type="continuationSeparator" w:id="0">
    <w:p w:rsidR="00C108E6" w:rsidRDefault="00C10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E6" w:rsidRDefault="00C108E6"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108E6" w:rsidRDefault="00C108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E6" w:rsidRDefault="00C108E6"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rsidR="00C108E6" w:rsidRDefault="00C108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250B1"/>
    <w:rsid w:val="00325CB7"/>
    <w:rsid w:val="00326D28"/>
    <w:rsid w:val="00327DE5"/>
    <w:rsid w:val="003529E8"/>
    <w:rsid w:val="0035513A"/>
    <w:rsid w:val="00365E9F"/>
    <w:rsid w:val="003726D2"/>
    <w:rsid w:val="0038058D"/>
    <w:rsid w:val="00380EBD"/>
    <w:rsid w:val="00382E70"/>
    <w:rsid w:val="00384083"/>
    <w:rsid w:val="0038459E"/>
    <w:rsid w:val="00385890"/>
    <w:rsid w:val="00385D42"/>
    <w:rsid w:val="00391ABB"/>
    <w:rsid w:val="00395A68"/>
    <w:rsid w:val="003A1DE2"/>
    <w:rsid w:val="003A26C5"/>
    <w:rsid w:val="003B0A2C"/>
    <w:rsid w:val="003B17DC"/>
    <w:rsid w:val="003B491A"/>
    <w:rsid w:val="003D0487"/>
    <w:rsid w:val="003D7EE2"/>
    <w:rsid w:val="003E2F13"/>
    <w:rsid w:val="003E3FEA"/>
    <w:rsid w:val="003E778A"/>
    <w:rsid w:val="00405878"/>
    <w:rsid w:val="0040606C"/>
    <w:rsid w:val="0041764A"/>
    <w:rsid w:val="0042763E"/>
    <w:rsid w:val="00433851"/>
    <w:rsid w:val="00443969"/>
    <w:rsid w:val="004446F9"/>
    <w:rsid w:val="004547CE"/>
    <w:rsid w:val="00456370"/>
    <w:rsid w:val="00464310"/>
    <w:rsid w:val="00472864"/>
    <w:rsid w:val="0047579A"/>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5559"/>
    <w:rsid w:val="0073028D"/>
    <w:rsid w:val="00742BAB"/>
    <w:rsid w:val="00747A6A"/>
    <w:rsid w:val="007512DB"/>
    <w:rsid w:val="00761CAE"/>
    <w:rsid w:val="0076625B"/>
    <w:rsid w:val="00772669"/>
    <w:rsid w:val="007757C7"/>
    <w:rsid w:val="00776DE2"/>
    <w:rsid w:val="007875BC"/>
    <w:rsid w:val="00787638"/>
    <w:rsid w:val="007966C4"/>
    <w:rsid w:val="007B23FE"/>
    <w:rsid w:val="007B738B"/>
    <w:rsid w:val="007C4C5E"/>
    <w:rsid w:val="007C4D6D"/>
    <w:rsid w:val="007C7238"/>
    <w:rsid w:val="007C7471"/>
    <w:rsid w:val="007D364B"/>
    <w:rsid w:val="007D48ED"/>
    <w:rsid w:val="007D5F25"/>
    <w:rsid w:val="007D7B85"/>
    <w:rsid w:val="007E177D"/>
    <w:rsid w:val="007E4F99"/>
    <w:rsid w:val="00802885"/>
    <w:rsid w:val="008108DA"/>
    <w:rsid w:val="00824FE9"/>
    <w:rsid w:val="008258B1"/>
    <w:rsid w:val="008262C3"/>
    <w:rsid w:val="00832375"/>
    <w:rsid w:val="00835641"/>
    <w:rsid w:val="00844A6D"/>
    <w:rsid w:val="00861597"/>
    <w:rsid w:val="00862588"/>
    <w:rsid w:val="00886C94"/>
    <w:rsid w:val="00892FDD"/>
    <w:rsid w:val="008A2A84"/>
    <w:rsid w:val="008A4042"/>
    <w:rsid w:val="008A48FA"/>
    <w:rsid w:val="008A7088"/>
    <w:rsid w:val="008B46A2"/>
    <w:rsid w:val="008B6D8D"/>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645C6"/>
    <w:rsid w:val="00965232"/>
    <w:rsid w:val="00983AFA"/>
    <w:rsid w:val="009A3B5B"/>
    <w:rsid w:val="009B2525"/>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739"/>
    <w:rsid w:val="00B95CA2"/>
    <w:rsid w:val="00BD6661"/>
    <w:rsid w:val="00BE3387"/>
    <w:rsid w:val="00C0726A"/>
    <w:rsid w:val="00C108E6"/>
    <w:rsid w:val="00C11676"/>
    <w:rsid w:val="00C152B1"/>
    <w:rsid w:val="00C26DFA"/>
    <w:rsid w:val="00C30FF0"/>
    <w:rsid w:val="00C3603C"/>
    <w:rsid w:val="00C3678A"/>
    <w:rsid w:val="00C40AA5"/>
    <w:rsid w:val="00C4469A"/>
    <w:rsid w:val="00C46B93"/>
    <w:rsid w:val="00C54181"/>
    <w:rsid w:val="00C62FA8"/>
    <w:rsid w:val="00C66B39"/>
    <w:rsid w:val="00C70560"/>
    <w:rsid w:val="00C761D9"/>
    <w:rsid w:val="00C77F5C"/>
    <w:rsid w:val="00C868C8"/>
    <w:rsid w:val="00C93F68"/>
    <w:rsid w:val="00CA21D5"/>
    <w:rsid w:val="00CB62A2"/>
    <w:rsid w:val="00CC2BAF"/>
    <w:rsid w:val="00CC46A6"/>
    <w:rsid w:val="00CD3FDE"/>
    <w:rsid w:val="00CD6942"/>
    <w:rsid w:val="00CF627E"/>
    <w:rsid w:val="00D062BA"/>
    <w:rsid w:val="00D11C5F"/>
    <w:rsid w:val="00D174B0"/>
    <w:rsid w:val="00D2501B"/>
    <w:rsid w:val="00D308BE"/>
    <w:rsid w:val="00D400F4"/>
    <w:rsid w:val="00D527BF"/>
    <w:rsid w:val="00D54598"/>
    <w:rsid w:val="00D55FEE"/>
    <w:rsid w:val="00D578D1"/>
    <w:rsid w:val="00D63620"/>
    <w:rsid w:val="00D67590"/>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876D5"/>
    <w:rsid w:val="00E93A62"/>
    <w:rsid w:val="00E94E93"/>
    <w:rsid w:val="00E9565C"/>
    <w:rsid w:val="00EA3DED"/>
    <w:rsid w:val="00EA7852"/>
    <w:rsid w:val="00EB4636"/>
    <w:rsid w:val="00EB756F"/>
    <w:rsid w:val="00EB7FF0"/>
    <w:rsid w:val="00EC01D3"/>
    <w:rsid w:val="00EC1178"/>
    <w:rsid w:val="00ED746D"/>
    <w:rsid w:val="00EE1DAA"/>
    <w:rsid w:val="00EF14FB"/>
    <w:rsid w:val="00F04A6A"/>
    <w:rsid w:val="00F061EA"/>
    <w:rsid w:val="00F12D5B"/>
    <w:rsid w:val="00F1561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6329"/>
    <w:rsid w:val="00FA4B1C"/>
    <w:rsid w:val="00FA5FD4"/>
    <w:rsid w:val="00FB0688"/>
    <w:rsid w:val="00FB71C7"/>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yatino-school-1@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53E6D-905B-4AB4-96FD-5743B12D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12894</Words>
  <Characters>73502</Characters>
  <Application>Microsoft Office Word</Application>
  <DocSecurity>4</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ADMIN</cp:lastModifiedBy>
  <cp:revision>2</cp:revision>
  <cp:lastPrinted>2017-01-26T11:36:00Z</cp:lastPrinted>
  <dcterms:created xsi:type="dcterms:W3CDTF">2020-07-06T15:01:00Z</dcterms:created>
  <dcterms:modified xsi:type="dcterms:W3CDTF">2020-07-06T15:01:00Z</dcterms:modified>
</cp:coreProperties>
</file>