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B46533" w:rsidP="002460AC">
      <w:pPr>
        <w:pStyle w:val="a8"/>
        <w:shd w:val="clear" w:color="auto" w:fill="FFFFFF"/>
        <w:spacing w:before="0" w:beforeAutospacing="0" w:after="0" w:afterAutospacing="0"/>
        <w:jc w:val="center"/>
        <w:rPr>
          <w:b/>
        </w:rPr>
      </w:pPr>
      <w:r>
        <w:rPr>
          <w:b/>
        </w:rPr>
        <w:t xml:space="preserve">на </w:t>
      </w:r>
      <w:r w:rsidR="002460AC">
        <w:rPr>
          <w:b/>
        </w:rPr>
        <w:t>оказание услуг по разработке проектно-сметной документации на АПС</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w:t>
      </w:r>
      <w:r w:rsidR="002460AC">
        <w:rPr>
          <w:b/>
          <w:i/>
        </w:rPr>
        <w:t>1</w:t>
      </w:r>
      <w:r w:rsidRPr="00E069FC">
        <w:rPr>
          <w:b/>
          <w:i/>
        </w:rPr>
        <w:t>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081686"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06581" w:rsidRDefault="00401E0E" w:rsidP="00334837">
            <w:pPr>
              <w:spacing w:line="0" w:lineRule="atLeast"/>
              <w:jc w:val="both"/>
              <w:rPr>
                <w:b/>
                <w:i/>
              </w:rPr>
            </w:pPr>
            <w:r>
              <w:rPr>
                <w:b/>
              </w:rPr>
              <w:t>Оказание услуг по разработке проектно-сметной документации на АПС</w:t>
            </w:r>
            <w:r w:rsidR="00663906">
              <w:rPr>
                <w:b/>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 xml:space="preserve">Административно – управленческий аппарат 142800, Московская область, городской округ Ступино, ул.Комсомольская д.15 (1объект); </w:t>
            </w:r>
          </w:p>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Отделение дневного пребывания 142800, Московская область, городской округ Ступино, ул. Тургенева д.18/19 (1объект);</w:t>
            </w:r>
          </w:p>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Отделение срочного социального обслуживания 142800, Московская область, городской округ Ступино, ул. Проспект победы д.33а/54 (1объект);</w:t>
            </w:r>
          </w:p>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Стационарное отделение «Дом – интернат малой вместимости для граждан пожилого возраста и инвалидов №2» 142845, Московская область, городской округ Ступино, с.Хатунь, ул.Рындина, д.46 (4 объекта);</w:t>
            </w:r>
          </w:p>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Стационарное отделение социально – оздоровительной реабилитации «Сосновый бор» 142816, Московская область, городской округ Ступино, д.Соколова Пустынь (15 объектов);</w:t>
            </w:r>
          </w:p>
          <w:p w:rsidR="00581A1A" w:rsidRPr="00581A1A" w:rsidRDefault="00581A1A" w:rsidP="00581A1A">
            <w:pPr>
              <w:numPr>
                <w:ilvl w:val="0"/>
                <w:numId w:val="22"/>
              </w:numPr>
              <w:spacing w:after="160" w:line="259" w:lineRule="auto"/>
              <w:contextualSpacing/>
              <w:rPr>
                <w:bCs/>
              </w:rPr>
            </w:pPr>
            <w:r w:rsidRPr="00581A1A">
              <w:rPr>
                <w:rFonts w:eastAsia="Calibri"/>
                <w:bCs/>
                <w:sz w:val="22"/>
                <w:szCs w:val="22"/>
                <w:lang w:eastAsia="en-US"/>
              </w:rPr>
              <w:t xml:space="preserve">Клуб «Активное долголетие» 142800, Московская область, городской округ Ступино, ул.Калинина д.14 (1объект); </w:t>
            </w:r>
          </w:p>
          <w:p w:rsidR="00BA2DE6" w:rsidRPr="00C73D6F" w:rsidRDefault="00581A1A" w:rsidP="00581A1A">
            <w:pPr>
              <w:jc w:val="both"/>
            </w:pPr>
            <w:r w:rsidRPr="00581A1A">
              <w:rPr>
                <w:rFonts w:eastAsia="Calibri"/>
                <w:bCs/>
                <w:sz w:val="22"/>
                <w:szCs w:val="22"/>
                <w:lang w:eastAsia="en-US"/>
              </w:rPr>
              <w:lastRenderedPageBreak/>
              <w:t>Отделение «Детский оздоровительный лагерь «Лесная поляна» и отделение «Социально – оздоровительный центр «Озерки» 140560, Московская область, г.о. Коломна д.Тарбушево (14 объектов).</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581A1A" w:rsidP="00C73D6F">
            <w:pPr>
              <w:pStyle w:val="ConsPlusCell"/>
              <w:rPr>
                <w:b/>
              </w:rPr>
            </w:pPr>
            <w:r>
              <w:rPr>
                <w:rFonts w:eastAsia="Arial" w:cs="Arial"/>
                <w:b/>
                <w:sz w:val="24"/>
                <w:szCs w:val="24"/>
                <w:shd w:val="clear" w:color="auto" w:fill="FFFFFF"/>
              </w:rPr>
              <w:t>251 446,12</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rFonts w:eastAsia="Arial" w:cs="Arial"/>
                <w:b/>
                <w:sz w:val="24"/>
                <w:szCs w:val="24"/>
                <w:shd w:val="clear" w:color="auto" w:fill="FFFFFF"/>
              </w:rPr>
              <w:t>двести пятьдесят одна</w:t>
            </w:r>
            <w:r w:rsidR="007D7974">
              <w:rPr>
                <w:rFonts w:eastAsia="Arial" w:cs="Arial"/>
                <w:b/>
                <w:sz w:val="24"/>
                <w:szCs w:val="24"/>
                <w:shd w:val="clear" w:color="auto" w:fill="FFFFFF"/>
              </w:rPr>
              <w:t xml:space="preserve"> тысяч</w:t>
            </w:r>
            <w:r>
              <w:rPr>
                <w:rFonts w:eastAsia="Arial" w:cs="Arial"/>
                <w:b/>
                <w:sz w:val="24"/>
                <w:szCs w:val="24"/>
                <w:shd w:val="clear" w:color="auto" w:fill="FFFFFF"/>
              </w:rPr>
              <w:t>а</w:t>
            </w:r>
            <w:r w:rsidR="007D7974">
              <w:rPr>
                <w:rFonts w:eastAsia="Arial" w:cs="Arial"/>
                <w:b/>
                <w:sz w:val="24"/>
                <w:szCs w:val="24"/>
                <w:shd w:val="clear" w:color="auto" w:fill="FFFFFF"/>
              </w:rPr>
              <w:t xml:space="preserve"> </w:t>
            </w:r>
            <w:r>
              <w:rPr>
                <w:rFonts w:eastAsia="Arial" w:cs="Arial"/>
                <w:b/>
                <w:sz w:val="24"/>
                <w:szCs w:val="24"/>
                <w:shd w:val="clear" w:color="auto" w:fill="FFFFFF"/>
              </w:rPr>
              <w:t xml:space="preserve">четыреста сорок шесть </w:t>
            </w:r>
            <w:r w:rsidR="008A636E">
              <w:rPr>
                <w:rFonts w:eastAsia="Arial" w:cs="Arial"/>
                <w:b/>
                <w:sz w:val="24"/>
                <w:szCs w:val="24"/>
                <w:shd w:val="clear" w:color="auto" w:fill="FFFFFF"/>
              </w:rPr>
              <w:t>рубл</w:t>
            </w:r>
            <w:r>
              <w:rPr>
                <w:rFonts w:eastAsia="Arial" w:cs="Arial"/>
                <w:b/>
                <w:sz w:val="24"/>
                <w:szCs w:val="24"/>
                <w:shd w:val="clear" w:color="auto" w:fill="FFFFFF"/>
              </w:rPr>
              <w:t>ей</w:t>
            </w:r>
            <w:r w:rsidR="008A636E">
              <w:rPr>
                <w:rFonts w:eastAsia="Arial" w:cs="Arial"/>
                <w:b/>
                <w:sz w:val="24"/>
                <w:szCs w:val="24"/>
                <w:shd w:val="clear" w:color="auto" w:fill="FFFFFF"/>
              </w:rPr>
              <w:t xml:space="preserve"> </w:t>
            </w:r>
            <w:r w:rsidR="00663906">
              <w:rPr>
                <w:rFonts w:eastAsia="Arial" w:cs="Arial"/>
                <w:b/>
                <w:sz w:val="24"/>
                <w:szCs w:val="24"/>
                <w:shd w:val="clear" w:color="auto" w:fill="FFFFFF"/>
              </w:rPr>
              <w:t>1</w:t>
            </w:r>
            <w:r>
              <w:rPr>
                <w:rFonts w:eastAsia="Arial" w:cs="Arial"/>
                <w:b/>
                <w:sz w:val="24"/>
                <w:szCs w:val="24"/>
                <w:shd w:val="clear" w:color="auto" w:fill="FFFFFF"/>
              </w:rPr>
              <w:t>2</w:t>
            </w:r>
            <w:r w:rsidR="00C73D6F" w:rsidRPr="00061DD6">
              <w:rPr>
                <w:rFonts w:eastAsia="Arial" w:cs="Arial"/>
                <w:b/>
                <w:sz w:val="24"/>
                <w:szCs w:val="24"/>
                <w:shd w:val="clear" w:color="auto" w:fill="FFFFFF"/>
              </w:rPr>
              <w:t xml:space="preserve"> копе</w:t>
            </w:r>
            <w:r w:rsidR="00663906">
              <w:rPr>
                <w:rFonts w:eastAsia="Arial" w:cs="Arial"/>
                <w:b/>
                <w:sz w:val="24"/>
                <w:szCs w:val="24"/>
                <w:shd w:val="clear" w:color="auto" w:fill="FFFFFF"/>
              </w:rPr>
              <w:t>е</w:t>
            </w:r>
            <w:r w:rsidR="00334837">
              <w:rPr>
                <w:rFonts w:eastAsia="Arial" w:cs="Arial"/>
                <w:b/>
                <w:sz w:val="24"/>
                <w:szCs w:val="24"/>
                <w:shd w:val="clear" w:color="auto" w:fill="FFFFFF"/>
              </w:rPr>
              <w:t>к</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081686"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F15D5C">
            <w:pPr>
              <w:autoSpaceDE w:val="0"/>
              <w:autoSpaceDN w:val="0"/>
              <w:adjustRightInd w:val="0"/>
              <w:jc w:val="both"/>
            </w:pPr>
            <w:r>
              <w:rPr>
                <w:shd w:val="clear" w:color="auto" w:fill="FFFFFF"/>
              </w:rPr>
              <w:t>«</w:t>
            </w:r>
            <w:r w:rsidR="00F15D5C">
              <w:rPr>
                <w:shd w:val="clear" w:color="auto" w:fill="FFFFFF"/>
              </w:rPr>
              <w:t>23</w:t>
            </w:r>
            <w:r>
              <w:rPr>
                <w:shd w:val="clear" w:color="auto" w:fill="FFFFFF"/>
              </w:rPr>
              <w:t xml:space="preserve">» </w:t>
            </w:r>
            <w:r w:rsidR="00F15D5C">
              <w:rPr>
                <w:shd w:val="clear" w:color="auto" w:fill="FFFFFF"/>
              </w:rPr>
              <w:t>июн</w:t>
            </w:r>
            <w:r w:rsidR="00367CCF">
              <w:rPr>
                <w:shd w:val="clear" w:color="auto" w:fill="FFFFFF"/>
              </w:rPr>
              <w:t>я</w:t>
            </w:r>
            <w:r>
              <w:rPr>
                <w:shd w:val="clear" w:color="auto" w:fill="FFFFFF"/>
              </w:rPr>
              <w:t xml:space="preserve"> 20</w:t>
            </w:r>
            <w:r w:rsidR="00CD0DF3">
              <w:rPr>
                <w:shd w:val="clear" w:color="auto" w:fill="FFFFFF"/>
              </w:rPr>
              <w:t>2</w:t>
            </w:r>
            <w:r w:rsidR="00F15D5C">
              <w:rPr>
                <w:shd w:val="clear" w:color="auto" w:fill="FFFFFF"/>
              </w:rPr>
              <w:t>1</w:t>
            </w:r>
            <w:r>
              <w:rPr>
                <w:shd w:val="clear" w:color="auto" w:fill="FFFFFF"/>
              </w:rPr>
              <w:t xml:space="preserve"> г. в </w:t>
            </w:r>
            <w:r w:rsidR="005E774F">
              <w:rPr>
                <w:shd w:val="clear" w:color="auto" w:fill="FFFFFF"/>
              </w:rPr>
              <w:t>1</w:t>
            </w:r>
            <w:r w:rsidR="00F15D5C">
              <w:rPr>
                <w:shd w:val="clear" w:color="auto" w:fill="FFFFFF"/>
              </w:rPr>
              <w:t>7</w:t>
            </w:r>
            <w:r w:rsidR="00C73D6F">
              <w:rPr>
                <w:shd w:val="clear" w:color="auto" w:fill="FFFFFF"/>
              </w:rPr>
              <w:t>:</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081686">
            <w:pPr>
              <w:jc w:val="both"/>
            </w:pPr>
            <w:r>
              <w:rPr>
                <w:shd w:val="clear" w:color="auto" w:fill="FFFFFF"/>
              </w:rPr>
              <w:t>«</w:t>
            </w:r>
            <w:r w:rsidR="00F15D5C">
              <w:rPr>
                <w:shd w:val="clear" w:color="auto" w:fill="FFFFFF"/>
              </w:rPr>
              <w:t>0</w:t>
            </w:r>
            <w:r w:rsidR="00081686" w:rsidRPr="00081686">
              <w:rPr>
                <w:shd w:val="clear" w:color="auto" w:fill="FFFFFF"/>
              </w:rPr>
              <w:t>6</w:t>
            </w:r>
            <w:r w:rsidR="00DF0906">
              <w:rPr>
                <w:shd w:val="clear" w:color="auto" w:fill="FFFFFF"/>
              </w:rPr>
              <w:t xml:space="preserve">» </w:t>
            </w:r>
            <w:r w:rsidR="00F15D5C">
              <w:rPr>
                <w:shd w:val="clear" w:color="auto" w:fill="FFFFFF"/>
              </w:rPr>
              <w:t>июл</w:t>
            </w:r>
            <w:r w:rsidR="00367CCF">
              <w:rPr>
                <w:shd w:val="clear" w:color="auto" w:fill="FFFFFF"/>
              </w:rPr>
              <w:t>я</w:t>
            </w:r>
            <w:r w:rsidR="00B56E4E">
              <w:rPr>
                <w:shd w:val="clear" w:color="auto" w:fill="FFFFFF"/>
              </w:rPr>
              <w:t xml:space="preserve"> 20</w:t>
            </w:r>
            <w:r w:rsidR="003A3120">
              <w:rPr>
                <w:shd w:val="clear" w:color="auto" w:fill="FFFFFF"/>
              </w:rPr>
              <w:t>2</w:t>
            </w:r>
            <w:r w:rsidR="00F15D5C">
              <w:rPr>
                <w:shd w:val="clear" w:color="auto" w:fill="FFFFFF"/>
              </w:rPr>
              <w:t>1</w:t>
            </w:r>
            <w:r w:rsidR="00B56E4E">
              <w:rPr>
                <w:shd w:val="clear" w:color="auto" w:fill="FFFFFF"/>
              </w:rPr>
              <w:t xml:space="preserve"> г в </w:t>
            </w:r>
            <w:r w:rsidR="007D7974">
              <w:rPr>
                <w:shd w:val="clear" w:color="auto" w:fill="FFFFFF"/>
              </w:rPr>
              <w:t>1</w:t>
            </w:r>
            <w:r w:rsidR="00F15D5C">
              <w:rPr>
                <w:shd w:val="clear" w:color="auto" w:fill="FFFFFF"/>
              </w:rPr>
              <w:t>0</w:t>
            </w:r>
            <w:r w:rsidR="00201CF3">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7E449F">
              <w:rPr>
                <w:shd w:val="clear" w:color="auto" w:fill="FFFFFF"/>
              </w:rPr>
              <w:t>0</w:t>
            </w:r>
            <w:r w:rsidR="004C70E3">
              <w:rPr>
                <w:shd w:val="clear" w:color="auto" w:fill="FFFFFF"/>
                <w:lang w:val="en-US"/>
              </w:rPr>
              <w:t>6</w:t>
            </w:r>
            <w:bookmarkStart w:id="3" w:name="_GoBack"/>
            <w:bookmarkEnd w:id="3"/>
            <w:r w:rsidR="00DF0906">
              <w:rPr>
                <w:shd w:val="clear" w:color="auto" w:fill="FFFFFF"/>
              </w:rPr>
              <w:t xml:space="preserve">» </w:t>
            </w:r>
            <w:r w:rsidR="007E449F">
              <w:rPr>
                <w:shd w:val="clear" w:color="auto" w:fill="FFFFFF"/>
              </w:rPr>
              <w:t>июл</w:t>
            </w:r>
            <w:r w:rsidR="00367CCF">
              <w:rPr>
                <w:shd w:val="clear" w:color="auto" w:fill="FFFFFF"/>
              </w:rPr>
              <w:t>я</w:t>
            </w:r>
            <w:r w:rsidR="00B56E4E">
              <w:rPr>
                <w:shd w:val="clear" w:color="auto" w:fill="FFFFFF"/>
              </w:rPr>
              <w:t xml:space="preserve"> 20</w:t>
            </w:r>
            <w:r w:rsidR="003A3120">
              <w:rPr>
                <w:shd w:val="clear" w:color="auto" w:fill="FFFFFF"/>
              </w:rPr>
              <w:t>2</w:t>
            </w:r>
            <w:r w:rsidR="007E449F">
              <w:rPr>
                <w:shd w:val="clear" w:color="auto" w:fill="FFFFFF"/>
              </w:rPr>
              <w:t>1</w:t>
            </w:r>
            <w:r w:rsidR="00B56E4E">
              <w:rPr>
                <w:shd w:val="clear" w:color="auto" w:fill="FFFFFF"/>
              </w:rPr>
              <w:t>г. в 1</w:t>
            </w:r>
            <w:r w:rsidR="007E449F">
              <w:rPr>
                <w:shd w:val="clear" w:color="auto" w:fill="FFFFFF"/>
              </w:rPr>
              <w:t>4</w:t>
            </w:r>
            <w:r w:rsidR="005C68B5">
              <w:rPr>
                <w:shd w:val="clear" w:color="auto" w:fill="FFFFFF"/>
              </w:rPr>
              <w:t>:0</w:t>
            </w:r>
            <w:r w:rsidR="007E449F">
              <w:rPr>
                <w:shd w:val="clear" w:color="auto" w:fill="FFFFFF"/>
              </w:rPr>
              <w:t>0</w:t>
            </w:r>
            <w:r w:rsidR="00C73D6F">
              <w:rPr>
                <w:shd w:val="clear" w:color="auto" w:fill="FFFFFF"/>
              </w:rPr>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 xml:space="preserve">Критерии оценки и сопоставления заявок на участие в такой закупке, величины </w:t>
            </w:r>
            <w:r w:rsidRPr="00C834BD">
              <w:lastRenderedPageBreak/>
              <w:t>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lastRenderedPageBreak/>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 xml:space="preserve">Информация о </w:t>
            </w:r>
            <w:r w:rsidRPr="007F191F">
              <w:lastRenderedPageBreak/>
              <w:t>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lastRenderedPageBreak/>
              <w:t xml:space="preserve">Заказчик вправе отменить конкурентную закупку по одному и </w:t>
            </w:r>
            <w:r w:rsidRPr="004F3F3E">
              <w:lastRenderedPageBreak/>
              <w:t>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D603C4">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w:t>
            </w:r>
            <w:r w:rsidR="00D603C4">
              <w:rPr>
                <w:rFonts w:ascii="Times New Roman" w:hAnsi="Times New Roman" w:cs="Times New Roman"/>
                <w:spacing w:val="2"/>
                <w:sz w:val="24"/>
                <w:szCs w:val="24"/>
              </w:rPr>
              <w:t>15</w:t>
            </w:r>
            <w:r w:rsidRPr="00736E0D">
              <w:rPr>
                <w:rFonts w:ascii="Times New Roman" w:hAnsi="Times New Roman" w:cs="Times New Roman"/>
                <w:spacing w:val="2"/>
                <w:sz w:val="24"/>
                <w:szCs w:val="24"/>
              </w:rPr>
              <w:t xml:space="preserve"> (</w:t>
            </w:r>
            <w:r w:rsidR="00D603C4">
              <w:rPr>
                <w:rFonts w:ascii="Times New Roman" w:hAnsi="Times New Roman" w:cs="Times New Roman"/>
                <w:spacing w:val="2"/>
                <w:sz w:val="24"/>
                <w:szCs w:val="24"/>
              </w:rPr>
              <w:t>пятнадцати</w:t>
            </w:r>
            <w:r w:rsidRPr="00736E0D">
              <w:rPr>
                <w:rFonts w:ascii="Times New Roman" w:hAnsi="Times New Roman" w:cs="Times New Roman"/>
                <w:spacing w:val="2"/>
                <w:sz w:val="24"/>
                <w:szCs w:val="24"/>
              </w:rPr>
              <w:t>)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w:t>
            </w:r>
            <w:r w:rsidRPr="00055787">
              <w:lastRenderedPageBreak/>
              <w:t>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2A2BC2">
              <w:rPr>
                <w:rFonts w:ascii="Times New Roman" w:hAnsi="Times New Roman" w:cs="Times New Roman"/>
                <w:sz w:val="24"/>
                <w:szCs w:val="24"/>
              </w:rPr>
              <w:lastRenderedPageBreak/>
              <w:t>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w:t>
            </w:r>
            <w:r w:rsidRPr="002A2BC2">
              <w:rPr>
                <w:rFonts w:ascii="Times New Roman" w:hAnsi="Times New Roman" w:cs="Times New Roman"/>
                <w:sz w:val="24"/>
                <w:szCs w:val="24"/>
              </w:rPr>
              <w:lastRenderedPageBreak/>
              <w:t xml:space="preserve">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w:t>
            </w:r>
            <w:r w:rsidRPr="00ED7D66">
              <w:rPr>
                <w:rFonts w:ascii="Times New Roman" w:hAnsi="Times New Roman" w:cs="Times New Roman"/>
                <w:sz w:val="24"/>
                <w:szCs w:val="24"/>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w:t>
            </w:r>
            <w:r w:rsidRPr="00ED7D66">
              <w:rPr>
                <w:rFonts w:ascii="Times New Roman" w:hAnsi="Times New Roman" w:cs="Times New Roman"/>
                <w:sz w:val="24"/>
                <w:szCs w:val="24"/>
              </w:rPr>
              <w:lastRenderedPageBreak/>
              <w:t>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w:t>
            </w:r>
            <w:r w:rsidRPr="00ED7D66">
              <w:rPr>
                <w:sz w:val="24"/>
                <w:szCs w:val="24"/>
              </w:rPr>
              <w:lastRenderedPageBreak/>
              <w:t>(декларирования)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sidR="005B793D" w:rsidRPr="005B793D">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lastRenderedPageBreak/>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Pr="00C022DC">
              <w:lastRenderedPageBreak/>
              <w:t>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 xml:space="preserve">Срок подписания </w:t>
            </w:r>
            <w:r w:rsidRPr="00BC6616">
              <w:lastRenderedPageBreak/>
              <w:t>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lastRenderedPageBreak/>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w:t>
            </w:r>
            <w:r w:rsidR="007331DF" w:rsidRPr="00BE0D77">
              <w:rPr>
                <w:rFonts w:ascii="Times New Roman" w:hAnsi="Times New Roman" w:cs="Times New Roman"/>
                <w:sz w:val="24"/>
                <w:szCs w:val="24"/>
              </w:rPr>
              <w:lastRenderedPageBreak/>
              <w:t xml:space="preserve">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w:t>
            </w:r>
            <w:r w:rsidRPr="008D5FB8">
              <w:lastRenderedPageBreak/>
              <w:t>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w:t>
            </w:r>
            <w:r w:rsidR="00F46FD3" w:rsidRPr="00404E6C">
              <w:lastRenderedPageBreak/>
              <w:t xml:space="preserve">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w:t>
      </w:r>
      <w:r w:rsidR="00E7217F" w:rsidRPr="008F09FC">
        <w:rPr>
          <w:rFonts w:ascii="Times New Roman" w:hAnsi="Times New Roman" w:cs="Times New Roman"/>
          <w:sz w:val="24"/>
          <w:szCs w:val="24"/>
        </w:rPr>
        <w:lastRenderedPageBreak/>
        <w:t>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w:t>
      </w:r>
      <w:r w:rsidRPr="0059733D">
        <w:rPr>
          <w:rFonts w:ascii="Times New Roman" w:hAnsi="Times New Roman" w:cs="Times New Roman"/>
          <w:sz w:val="24"/>
          <w:szCs w:val="24"/>
        </w:rPr>
        <w:lastRenderedPageBreak/>
        <w:t>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lastRenderedPageBreak/>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lastRenderedPageBreak/>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lastRenderedPageBreak/>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lastRenderedPageBreak/>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lastRenderedPageBreak/>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lastRenderedPageBreak/>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081686"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77" w:rsidRDefault="009E6277" w:rsidP="00270664">
      <w:r>
        <w:separator/>
      </w:r>
    </w:p>
  </w:endnote>
  <w:endnote w:type="continuationSeparator" w:id="0">
    <w:p w:rsidR="009E6277" w:rsidRDefault="009E627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77" w:rsidRDefault="009E6277" w:rsidP="00270664">
      <w:r>
        <w:separator/>
      </w:r>
    </w:p>
  </w:footnote>
  <w:footnote w:type="continuationSeparator" w:id="0">
    <w:p w:rsidR="009E6277" w:rsidRDefault="009E6277" w:rsidP="00270664">
      <w:r>
        <w:continuationSeparator/>
      </w:r>
    </w:p>
  </w:footnote>
  <w:footnote w:id="1">
    <w:p w:rsidR="00081686" w:rsidRPr="00C349BB" w:rsidRDefault="0008168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C9C4185"/>
    <w:multiLevelType w:val="hybridMultilevel"/>
    <w:tmpl w:val="C3DC7556"/>
    <w:lvl w:ilvl="0" w:tplc="B28AFBFE">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12D1D"/>
    <w:rsid w:val="00044501"/>
    <w:rsid w:val="000462D7"/>
    <w:rsid w:val="00052EDF"/>
    <w:rsid w:val="000546EB"/>
    <w:rsid w:val="00055787"/>
    <w:rsid w:val="00071864"/>
    <w:rsid w:val="00081686"/>
    <w:rsid w:val="0008182C"/>
    <w:rsid w:val="00084AD0"/>
    <w:rsid w:val="0008585A"/>
    <w:rsid w:val="00091BD6"/>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60AC"/>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06D0D"/>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1E0E"/>
    <w:rsid w:val="00404E6C"/>
    <w:rsid w:val="004112C8"/>
    <w:rsid w:val="00412A65"/>
    <w:rsid w:val="00426661"/>
    <w:rsid w:val="00432D0C"/>
    <w:rsid w:val="00437D56"/>
    <w:rsid w:val="004464D2"/>
    <w:rsid w:val="00447B96"/>
    <w:rsid w:val="004531B2"/>
    <w:rsid w:val="004624CA"/>
    <w:rsid w:val="00462FE1"/>
    <w:rsid w:val="00481966"/>
    <w:rsid w:val="00482D1B"/>
    <w:rsid w:val="004B459C"/>
    <w:rsid w:val="004B62ED"/>
    <w:rsid w:val="004B708F"/>
    <w:rsid w:val="004C3CF6"/>
    <w:rsid w:val="004C5AA7"/>
    <w:rsid w:val="004C6D5C"/>
    <w:rsid w:val="004C70E3"/>
    <w:rsid w:val="004D347B"/>
    <w:rsid w:val="004D5CEC"/>
    <w:rsid w:val="004F2000"/>
    <w:rsid w:val="004F3F3E"/>
    <w:rsid w:val="00500CE5"/>
    <w:rsid w:val="00512910"/>
    <w:rsid w:val="00514EE7"/>
    <w:rsid w:val="00515EEE"/>
    <w:rsid w:val="00522476"/>
    <w:rsid w:val="00523415"/>
    <w:rsid w:val="00524E6F"/>
    <w:rsid w:val="00532066"/>
    <w:rsid w:val="0053717C"/>
    <w:rsid w:val="0054259D"/>
    <w:rsid w:val="00552B05"/>
    <w:rsid w:val="00554D07"/>
    <w:rsid w:val="005558C2"/>
    <w:rsid w:val="00570C3A"/>
    <w:rsid w:val="00576D9E"/>
    <w:rsid w:val="00580259"/>
    <w:rsid w:val="00581A1A"/>
    <w:rsid w:val="00581A26"/>
    <w:rsid w:val="00583731"/>
    <w:rsid w:val="0058531D"/>
    <w:rsid w:val="005920EA"/>
    <w:rsid w:val="00593038"/>
    <w:rsid w:val="00593152"/>
    <w:rsid w:val="00596508"/>
    <w:rsid w:val="0059733D"/>
    <w:rsid w:val="0059778C"/>
    <w:rsid w:val="005A2A14"/>
    <w:rsid w:val="005B64B5"/>
    <w:rsid w:val="005B793D"/>
    <w:rsid w:val="005C2C66"/>
    <w:rsid w:val="005C68B5"/>
    <w:rsid w:val="005D7EAF"/>
    <w:rsid w:val="005E774F"/>
    <w:rsid w:val="00614B31"/>
    <w:rsid w:val="00615A52"/>
    <w:rsid w:val="006256F2"/>
    <w:rsid w:val="0062729A"/>
    <w:rsid w:val="00633161"/>
    <w:rsid w:val="006356AF"/>
    <w:rsid w:val="00663906"/>
    <w:rsid w:val="00664F2A"/>
    <w:rsid w:val="00672ED9"/>
    <w:rsid w:val="006736E3"/>
    <w:rsid w:val="0067768C"/>
    <w:rsid w:val="006850BE"/>
    <w:rsid w:val="00693FA3"/>
    <w:rsid w:val="006A0036"/>
    <w:rsid w:val="006A0CEB"/>
    <w:rsid w:val="006A0F3D"/>
    <w:rsid w:val="006A1A40"/>
    <w:rsid w:val="006A5463"/>
    <w:rsid w:val="006C78BC"/>
    <w:rsid w:val="006D3E09"/>
    <w:rsid w:val="006D3EE4"/>
    <w:rsid w:val="006D4223"/>
    <w:rsid w:val="006D7D51"/>
    <w:rsid w:val="006E2DFA"/>
    <w:rsid w:val="006F1063"/>
    <w:rsid w:val="006F233D"/>
    <w:rsid w:val="007066BB"/>
    <w:rsid w:val="00710EB1"/>
    <w:rsid w:val="0073309F"/>
    <w:rsid w:val="007331DF"/>
    <w:rsid w:val="0074691A"/>
    <w:rsid w:val="0076224C"/>
    <w:rsid w:val="00771E3A"/>
    <w:rsid w:val="00773793"/>
    <w:rsid w:val="00781AC2"/>
    <w:rsid w:val="007832BD"/>
    <w:rsid w:val="00791902"/>
    <w:rsid w:val="007957D0"/>
    <w:rsid w:val="0079713E"/>
    <w:rsid w:val="007B34A7"/>
    <w:rsid w:val="007D7974"/>
    <w:rsid w:val="007E449F"/>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6035"/>
    <w:rsid w:val="008A290A"/>
    <w:rsid w:val="008A636E"/>
    <w:rsid w:val="008A7C83"/>
    <w:rsid w:val="008D0E97"/>
    <w:rsid w:val="008D125E"/>
    <w:rsid w:val="008D2F40"/>
    <w:rsid w:val="008D5FB8"/>
    <w:rsid w:val="008D74E0"/>
    <w:rsid w:val="008E7CA9"/>
    <w:rsid w:val="008F09FC"/>
    <w:rsid w:val="0091146A"/>
    <w:rsid w:val="009144B6"/>
    <w:rsid w:val="00916C9B"/>
    <w:rsid w:val="0092375E"/>
    <w:rsid w:val="00925EDA"/>
    <w:rsid w:val="009273D6"/>
    <w:rsid w:val="00931076"/>
    <w:rsid w:val="00933F60"/>
    <w:rsid w:val="00940E5C"/>
    <w:rsid w:val="009412BF"/>
    <w:rsid w:val="009501CC"/>
    <w:rsid w:val="00953A34"/>
    <w:rsid w:val="009631CA"/>
    <w:rsid w:val="009634C8"/>
    <w:rsid w:val="009672F0"/>
    <w:rsid w:val="00970905"/>
    <w:rsid w:val="00970D6D"/>
    <w:rsid w:val="00984FCF"/>
    <w:rsid w:val="0098678C"/>
    <w:rsid w:val="00987EF5"/>
    <w:rsid w:val="00993373"/>
    <w:rsid w:val="009A0DE7"/>
    <w:rsid w:val="009A3599"/>
    <w:rsid w:val="009D3D25"/>
    <w:rsid w:val="009D7163"/>
    <w:rsid w:val="009E6277"/>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71657"/>
    <w:rsid w:val="00A844F1"/>
    <w:rsid w:val="00A860DA"/>
    <w:rsid w:val="00A909BE"/>
    <w:rsid w:val="00A913FF"/>
    <w:rsid w:val="00A91877"/>
    <w:rsid w:val="00A959D2"/>
    <w:rsid w:val="00AA11C7"/>
    <w:rsid w:val="00AA22F5"/>
    <w:rsid w:val="00AA3506"/>
    <w:rsid w:val="00AA5EEF"/>
    <w:rsid w:val="00AB64EE"/>
    <w:rsid w:val="00AC7EB2"/>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0A54"/>
    <w:rsid w:val="00BC6616"/>
    <w:rsid w:val="00BC68AA"/>
    <w:rsid w:val="00BD371A"/>
    <w:rsid w:val="00BE0382"/>
    <w:rsid w:val="00BE0D77"/>
    <w:rsid w:val="00BF2B93"/>
    <w:rsid w:val="00BF496A"/>
    <w:rsid w:val="00C022DC"/>
    <w:rsid w:val="00C05C2C"/>
    <w:rsid w:val="00C14827"/>
    <w:rsid w:val="00C16571"/>
    <w:rsid w:val="00C168FD"/>
    <w:rsid w:val="00C242D6"/>
    <w:rsid w:val="00C45DDE"/>
    <w:rsid w:val="00C653E2"/>
    <w:rsid w:val="00C72519"/>
    <w:rsid w:val="00C730EE"/>
    <w:rsid w:val="00C73590"/>
    <w:rsid w:val="00C73D6F"/>
    <w:rsid w:val="00C834BD"/>
    <w:rsid w:val="00C90030"/>
    <w:rsid w:val="00C90283"/>
    <w:rsid w:val="00CA115E"/>
    <w:rsid w:val="00CB32E5"/>
    <w:rsid w:val="00CB5539"/>
    <w:rsid w:val="00CC00B3"/>
    <w:rsid w:val="00CC062C"/>
    <w:rsid w:val="00CC25FE"/>
    <w:rsid w:val="00CD0DF3"/>
    <w:rsid w:val="00CD267C"/>
    <w:rsid w:val="00CD3500"/>
    <w:rsid w:val="00CF36DF"/>
    <w:rsid w:val="00CF4737"/>
    <w:rsid w:val="00CF6947"/>
    <w:rsid w:val="00D03B50"/>
    <w:rsid w:val="00D05432"/>
    <w:rsid w:val="00D056CA"/>
    <w:rsid w:val="00D13A14"/>
    <w:rsid w:val="00D13E1F"/>
    <w:rsid w:val="00D15C62"/>
    <w:rsid w:val="00D16304"/>
    <w:rsid w:val="00D16835"/>
    <w:rsid w:val="00D20C6B"/>
    <w:rsid w:val="00D34695"/>
    <w:rsid w:val="00D42BA9"/>
    <w:rsid w:val="00D518C8"/>
    <w:rsid w:val="00D54BBC"/>
    <w:rsid w:val="00D603C4"/>
    <w:rsid w:val="00D665C2"/>
    <w:rsid w:val="00D717ED"/>
    <w:rsid w:val="00D73571"/>
    <w:rsid w:val="00D81F93"/>
    <w:rsid w:val="00D95EE2"/>
    <w:rsid w:val="00DA53BA"/>
    <w:rsid w:val="00DC0B67"/>
    <w:rsid w:val="00DD14C6"/>
    <w:rsid w:val="00DD1587"/>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9787B"/>
    <w:rsid w:val="00EA6227"/>
    <w:rsid w:val="00EB009B"/>
    <w:rsid w:val="00EB26D9"/>
    <w:rsid w:val="00EB5C4E"/>
    <w:rsid w:val="00EC4104"/>
    <w:rsid w:val="00EC6634"/>
    <w:rsid w:val="00ED5522"/>
    <w:rsid w:val="00ED7D66"/>
    <w:rsid w:val="00EE0485"/>
    <w:rsid w:val="00EE258E"/>
    <w:rsid w:val="00EE5DA5"/>
    <w:rsid w:val="00EE60C6"/>
    <w:rsid w:val="00EF5388"/>
    <w:rsid w:val="00EF702B"/>
    <w:rsid w:val="00F15D5C"/>
    <w:rsid w:val="00F46FD3"/>
    <w:rsid w:val="00F50FCE"/>
    <w:rsid w:val="00F56C32"/>
    <w:rsid w:val="00F572B3"/>
    <w:rsid w:val="00F627B9"/>
    <w:rsid w:val="00F6440F"/>
    <w:rsid w:val="00F64A31"/>
    <w:rsid w:val="00F8025E"/>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7C3D4CC"/>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8428-2473-4839-B31F-C16BD490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34</Pages>
  <Words>10403</Words>
  <Characters>59298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145</cp:revision>
  <cp:lastPrinted>2018-11-29T11:27:00Z</cp:lastPrinted>
  <dcterms:created xsi:type="dcterms:W3CDTF">2019-01-24T08:21:00Z</dcterms:created>
  <dcterms:modified xsi:type="dcterms:W3CDTF">2021-06-28T11:43:00Z</dcterms:modified>
</cp:coreProperties>
</file>