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ГАУ СО МО  "КЦСОиР "СЕРЕБРЯНО-ПРУДСКИЙ"</w:t>
        <w:br/>
        <w:t>«28» июня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установке системы очистки воды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№023/2023-ЗКЭФ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Серебряно-Прудский р-н, п. Дмитриевский, д.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Серебряно-Прудский р-н, п. Дмитриевский, д.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установке системы очистки воды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142951,Московская область, г.о. Серебряные Пруды, п. Дмитриевский, д.6;</w:t>
              <w:br/>
              <w:t>График оказания услуг: в течении 15 рабочих дней с момента подписания Договора.;</w:t>
              <w:br/>
              <w:t>Условия оказания услуг: Согласно Технического задания</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203 399 (двести три тысячи триста девяносто девять)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КБК: 831 - 0000 - 0000000000 - 244, 203 399 рублей 00 копеек</w:t>
              <w:br/>
              <w:t/>
              <w:br/>
              <w:t>ОКПД2: 36.00.20.110 Услуги по очистке и подготовке воды для водоснабжения;</w:t>
              <w:br/>
              <w:t/>
              <w:br/>
              <w:t>ОКВЭД2: 36.00 Забор, очистка и распределение воды;</w:t>
              <w:br/>
              <w:t/>
              <w:br/>
              <w:t>Код КОЗ: 02.39.01.01.05.01.01.01.01 Услуги по очистке и подготовке воды для водоснабжения;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Участник закупки не является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«29» июня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«04» июля 2023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«29» июня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«07» июля 2023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«07» июля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