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073968-22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p w:rsidR="007C3BF1" w:rsidRDefault="000F58E5">
      <w:pPr>
        <w:ind w:left="1418"/>
      </w:pPr>
      <w:r w:rsidR="008C2287">
        <w:t xml:space="preserve">Цена </w:t>
      </w:r>
      <w:r w:rsidR="008C2287">
        <w:t>договора</w:t>
      </w:r>
      <w:r w:rsidR="008C2287">
        <w:t>, руб.:</w:t>
      </w:r>
      <w:r w:rsidR="001406FC">
        <w:t xml:space="preserve"> </w:t>
      </w:r>
      <w:r w:rsidR="008C2287">
        <w:t>3 443 652,00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03.24.01.01.02.11.06.01.07</w:t>
            </w:r>
            <w:r w:rsidRPr="00C15977" w:rsidR="00791254">
              <w:rPr>
                <w:b/>
                <w:lang w:val="en-US"/>
              </w:rPr>
              <w:t xml:space="preserve"> / </w:t>
            </w:r>
            <w:r w:rsidRPr="00C15977" w:rsidR="00791254">
              <w:rPr>
                <w:lang w:val="en-US"/>
              </w:rPr>
              <w:t>42.22.21.120</w:t>
            </w:r>
            <w:r w:rsidRPr="00415D72" w:rsidR="00415D72">
              <w:rPr>
                <w:lang w:val="en-US"/>
              </w:rPr>
              <w:t xml:space="preserve"> </w:t>
            </w:r>
          </w:p>
        </w:tc>
        <w:tc>
          <w:tcPr>
            <w:tcW w:w="3003" w:type="dxa"/>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2430" w:type="dxa"/>
          </w:tcPr>
          <w:p w:rsidR="007C3BF1" w:rsidRDefault="008C2287">
            <w:pPr>
              <w:pStyle w:val="a8"/>
            </w:pPr>
            <w:r>
              <w:t>(не указано)*</w:t>
            </w:r>
          </w:p>
        </w:tc>
        <w:tc>
          <w:tcPr>
            <w:tcW w:w="1654" w:type="dxa"/>
          </w:tcPr>
          <w:p w:rsidR="007C3BF1" w:rsidRDefault="000F58E5">
            <w:pPr>
              <w:pStyle w:val="a8"/>
            </w:pPr>
            <w:r w:rsidR="008C2287">
              <w:t>1,00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F58E5">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0F58E5">
            <w:pPr>
              <w:pStyle w:val="a8"/>
              <w:rPr>
                <w:lang w:val="en-US"/>
              </w:rPr>
            </w:pPr>
            <w:r w:rsidRPr="000B5400" w:rsidR="008C2287">
              <w:rPr>
                <w:lang w:val="en-US"/>
              </w:rPr>
              <w:t>45 дн. от даты заключения договора</w:t>
            </w:r>
          </w:p>
        </w:tc>
        <w:tc>
          <w:tcPr>
            <w:tcW w:w="622" w:type="pct"/>
            <w:shd w:val="clear" w:color="auto" w:fill="auto"/>
          </w:tcPr>
          <w:p w:rsidRPr="000B5400" w:rsidR="007C3BF1" w:rsidRDefault="000F58E5">
            <w:pPr>
              <w:pStyle w:val="a8"/>
              <w:rPr>
                <w:lang w:val="en-US"/>
              </w:rPr>
            </w:pPr>
            <w:r w:rsidRPr="000B5400" w:rsidR="008C2287">
              <w:rPr>
                <w:lang w:val="en-US"/>
              </w:rPr>
              <w:t>Разово</w:t>
            </w:r>
          </w:p>
        </w:tc>
        <w:tc>
          <w:tcPr>
            <w:tcW w:w="610" w:type="pct"/>
            <w:shd w:val="clear" w:color="auto" w:fill="auto"/>
          </w:tcPr>
          <w:p w:rsidRPr="000B5400" w:rsidR="007C3BF1" w:rsidRDefault="000F58E5">
            <w:pPr>
              <w:pStyle w:val="a8"/>
              <w:rPr>
                <w:lang w:val="en-US"/>
              </w:rPr>
            </w:pPr>
            <w:r w:rsidRPr="000B5400" w:rsidR="008C2287">
              <w:rPr>
                <w:lang w:val="en-US"/>
              </w:rPr>
              <w:t>Подрядчик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независимо от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Акт о приёмке выполненных работ (форма КС-2)</w:t>
            </w:r>
          </w:p>
        </w:tc>
        <w:tc>
          <w:tcPr>
            <w:tcW w:w="1821" w:type="pct"/>
            <w:vMerge w:val="restar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Справка о стоимости выполненных работ и затрат (КС-3)</w:t>
            </w:r>
          </w:p>
        </w:tc>
        <w:tc>
          <w:tcPr>
            <w:tcW w:w="1821" w:type="pct"/>
            <w:vMerge w:val="restar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Согласование (без подписания)</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Подрядчик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Выполнение работ по прокладке электрического кабеля в трубе в траншее от ТП (строение 13) до установки МРТ в здании взрослой поликлиники (строение 3) и подключению ВРУ с АВР в здании взрослой поликлиники (строение 3) по адресу: 141980, Московская обл., г. Дубна, ул. Карла Маркса, д. 30</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