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jc w:val="right"/>
      </w:pPr>
      <w:bookmarkStart w:id="0" w:name="_GoBack"/>
      <w:bookmarkEnd w:id="0"/>
      <w:r>
        <w:softHyphen/>
      </w:r>
      <w:r>
        <w:softHyphen/>
      </w:r>
      <w:r>
        <w:softHyphen/>
      </w:r>
      <w:r>
        <w:t>Приложение 1 к договору</w:t>
      </w:r>
    </w:p>
    <w:p>
      <w:pPr>
        <w:spacing w:before="180"/>
        <w:ind w:firstLine="562"/>
        <w:jc w:val="right"/>
      </w:pPr>
      <w:r>
        <w:t>от «____» ___________ 20___г. № ___________</w:t>
      </w:r>
    </w:p>
    <w:p>
      <w:pPr>
        <w:spacing w:before="180"/>
        <w:ind w:firstLine="562"/>
        <w:jc w:val="right"/>
      </w:pPr>
    </w:p>
    <w:p>
      <w:pPr>
        <w:jc w:val="right"/>
      </w:pPr>
    </w:p>
    <w:p>
      <w:pPr>
        <w:pStyle w:val="2"/>
      </w:pPr>
      <w:r>
        <w:t>Сведения об объектах закупки</w:t>
      </w:r>
    </w:p>
    <w:p>
      <w:pPr>
        <w:pStyle w:val="98"/>
        <w:keepNext/>
        <w:numPr>
          <w:ilvl w:val="0"/>
          <w:numId w:val="3"/>
        </w:numPr>
        <w:ind w:left="426" w:hanging="426"/>
        <w:jc w:val="center"/>
      </w:pPr>
      <w:r>
        <w:t>Объекты закупки</w:t>
      </w:r>
    </w:p>
    <w:p/>
    <w:p>
      <w:pPr>
        <w:keepNext/>
        <w:spacing w:after="60"/>
        <w:jc w:val="right"/>
        <w:rPr>
          <w:sz w:val="2"/>
        </w:rPr>
      </w:pPr>
      <w:r>
        <w:t>Таблица 1.1</w:t>
      </w:r>
    </w:p>
    <w:p>
      <w:pPr>
        <w:pStyle w:val="110"/>
        <w:rPr>
          <w:rFonts w:eastAsiaTheme="minorHAnsi"/>
          <w:sz w:val="2"/>
          <w:szCs w:val="2"/>
          <w:lang w:val="en-US"/>
        </w:rPr>
      </w:pPr>
    </w:p>
    <w:tbl>
      <w:tblPr>
        <w:tblStyle w:val="13"/>
        <w:tblW w:w="14709"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323"/>
        <w:gridCol w:w="4323"/>
        <w:gridCol w:w="3828"/>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235" w:type="dxa"/>
            <w:shd w:val="clear" w:color="auto" w:fill="auto"/>
            <w:vAlign w:val="center"/>
          </w:tcPr>
          <w:p>
            <w:pPr>
              <w:pStyle w:val="110"/>
              <w:keepNext/>
              <w:jc w:val="center"/>
              <w:rPr>
                <w:sz w:val="18"/>
                <w:szCs w:val="18"/>
              </w:rPr>
            </w:pPr>
            <w:r>
              <w:rPr>
                <w:b/>
                <w:sz w:val="18"/>
                <w:szCs w:val="18"/>
              </w:rPr>
              <w:t>Наименование объекта закупки по ОКПД 2 / КТРУ</w:t>
            </w:r>
          </w:p>
        </w:tc>
        <w:tc>
          <w:tcPr>
            <w:tcW w:w="4323" w:type="dxa"/>
            <w:shd w:val="clear" w:color="auto" w:fill="auto"/>
            <w:vAlign w:val="center"/>
          </w:tcPr>
          <w:p>
            <w:pPr>
              <w:pStyle w:val="108"/>
              <w:keepNext/>
              <w:jc w:val="center"/>
              <w:rPr>
                <w:sz w:val="18"/>
                <w:szCs w:val="18"/>
              </w:rPr>
            </w:pPr>
            <w:r>
              <w:rPr>
                <w:rStyle w:val="109"/>
                <w:rFonts w:eastAsiaTheme="minorHAnsi"/>
                <w:b w:val="0"/>
                <w:sz w:val="18"/>
                <w:szCs w:val="18"/>
              </w:rPr>
              <w:t xml:space="preserve"> </w:t>
            </w:r>
            <w:r>
              <w:rPr>
                <w:rStyle w:val="109"/>
                <w:rFonts w:eastAsiaTheme="minorHAnsi"/>
                <w:b/>
                <w:sz w:val="18"/>
                <w:szCs w:val="18"/>
              </w:rPr>
              <w:t>КОЗ</w:t>
            </w:r>
          </w:p>
        </w:tc>
        <w:tc>
          <w:tcPr>
            <w:tcW w:w="4323" w:type="dxa"/>
            <w:shd w:val="clear" w:color="auto" w:fill="auto"/>
            <w:vAlign w:val="center"/>
          </w:tcPr>
          <w:p>
            <w:pPr>
              <w:pStyle w:val="108"/>
              <w:keepNext/>
              <w:jc w:val="center"/>
              <w:rPr>
                <w:sz w:val="18"/>
                <w:szCs w:val="18"/>
              </w:rPr>
            </w:pPr>
            <w:r>
              <w:rPr>
                <w:sz w:val="18"/>
                <w:szCs w:val="18"/>
              </w:rPr>
              <w:t>Детализированное наименование объекта закупки в соответствии с планом закупки / договором</w:t>
            </w:r>
          </w:p>
        </w:tc>
        <w:tc>
          <w:tcPr>
            <w:tcW w:w="3828" w:type="dxa"/>
            <w:shd w:val="clear" w:color="auto" w:fill="auto"/>
            <w:vAlign w:val="center"/>
          </w:tcPr>
          <w:p>
            <w:pPr>
              <w:pStyle w:val="108"/>
              <w:keepNext/>
              <w:jc w:val="center"/>
              <w:rPr>
                <w:sz w:val="18"/>
                <w:szCs w:val="18"/>
              </w:rPr>
            </w:pPr>
            <w:r>
              <w:rPr>
                <w:sz w:val="18"/>
                <w:szCs w:val="18"/>
              </w:rPr>
              <w:t>Общая стоимость, руб.</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tcBorders>
              <w:bottom w:val="single" w:color="auto" w:sz="4" w:space="0"/>
            </w:tcBorders>
            <w:shd w:val="clear" w:color="auto" w:fill="auto"/>
            <w:vAlign w:val="center"/>
          </w:tcPr>
          <w:p>
            <w:pPr>
              <w:pStyle w:val="110"/>
              <w:jc w:val="center"/>
              <w:rPr>
                <w:sz w:val="18"/>
                <w:szCs w:val="18"/>
                <w:lang w:val="en-US"/>
              </w:rPr>
            </w:pPr>
            <w:r>
              <w:rPr>
                <w:sz w:val="18"/>
                <w:szCs w:val="18"/>
                <w:lang w:val="en-US"/>
              </w:rPr>
              <w:t xml:space="preserve">69.20.10.000 - Услуги по проведению финансового аудита / </w:t>
            </w:r>
          </w:p>
        </w:tc>
        <w:tc>
          <w:tcPr>
            <w:tcW w:w="4323" w:type="dxa"/>
            <w:tcBorders>
              <w:bottom w:val="single" w:color="auto" w:sz="4" w:space="0"/>
            </w:tcBorders>
            <w:shd w:val="clear" w:color="auto" w:fill="auto"/>
            <w:vAlign w:val="center"/>
          </w:tcPr>
          <w:p>
            <w:pPr>
              <w:pStyle w:val="110"/>
              <w:rPr>
                <w:sz w:val="18"/>
                <w:szCs w:val="18"/>
                <w:lang w:val="en-US"/>
              </w:rPr>
            </w:pPr>
            <w:r>
              <w:rPr>
                <w:sz w:val="18"/>
                <w:szCs w:val="18"/>
                <w:lang w:val="en-US"/>
              </w:rPr>
              <w:t xml:space="preserve"> 02.01.06.708</w:t>
            </w:r>
          </w:p>
        </w:tc>
        <w:tc>
          <w:tcPr>
            <w:tcW w:w="4323" w:type="dxa"/>
            <w:tcBorders>
              <w:bottom w:val="single" w:color="auto" w:sz="4" w:space="0"/>
            </w:tcBorders>
            <w:shd w:val="clear" w:color="auto" w:fill="auto"/>
            <w:vAlign w:val="center"/>
          </w:tcPr>
          <w:p>
            <w:pPr>
              <w:pStyle w:val="110"/>
              <w:rPr>
                <w:sz w:val="18"/>
                <w:szCs w:val="18"/>
                <w:lang w:val="en-US"/>
              </w:rPr>
            </w:pPr>
            <w:r>
              <w:rPr>
                <w:sz w:val="18"/>
                <w:szCs w:val="18"/>
                <w:lang w:val="en-US"/>
              </w:rPr>
              <w:t>Услуги по проведению финансового аудита / Услуги по проведению финансового аудита</w:t>
            </w:r>
          </w:p>
        </w:tc>
        <w:tc>
          <w:tcPr>
            <w:tcW w:w="3828" w:type="dxa"/>
            <w:tcBorders>
              <w:bottom w:val="single" w:color="auto" w:sz="4" w:space="0"/>
            </w:tcBorders>
            <w:shd w:val="clear" w:color="auto" w:fill="auto"/>
            <w:vAlign w:val="center"/>
          </w:tcPr>
          <w:p>
            <w:pPr>
              <w:pStyle w:val="110"/>
              <w:jc w:val="right"/>
              <w:rPr>
                <w:sz w:val="18"/>
                <w:szCs w:val="18"/>
              </w:rPr>
            </w:pPr>
            <w:r>
              <w:rPr>
                <w:sz w:val="18"/>
                <w:szCs w:val="18"/>
                <w:lang w:val="en-US"/>
              </w:rPr>
              <w:t>(</w:t>
            </w:r>
            <w:r>
              <w:rPr>
                <w:sz w:val="18"/>
                <w:szCs w:val="18"/>
              </w:rPr>
              <w:t>не указано</w:t>
            </w:r>
            <w:r>
              <w:rPr>
                <w:sz w:val="18"/>
                <w:szCs w:val="18"/>
                <w:lang w:val="en-US"/>
              </w:rPr>
              <w:t>)*</w:t>
            </w:r>
          </w:p>
        </w:tc>
      </w:tr>
    </w:tbl>
    <w:p>
      <w:pPr>
        <w:pStyle w:val="110"/>
        <w:rPr>
          <w:sz w:val="2"/>
          <w:szCs w:val="2"/>
        </w:rPr>
      </w:pPr>
    </w:p>
    <w:p>
      <w:pPr>
        <w:pStyle w:val="110"/>
        <w:rPr>
          <w:sz w:val="2"/>
          <w:szCs w:val="2"/>
        </w:rPr>
      </w:pPr>
    </w:p>
    <w:p>
      <w:pPr>
        <w:pStyle w:val="110"/>
        <w:rPr>
          <w:sz w:val="2"/>
          <w:szCs w:val="2"/>
        </w:rPr>
      </w:pPr>
      <w:r>
        <w:rPr>
          <w:sz w:val="2"/>
          <w:szCs w:val="2"/>
        </w:rPr>
        <w:t xml:space="preserve"> </w:t>
      </w:r>
    </w:p>
    <w:p>
      <w:pPr>
        <w:pStyle w:val="110"/>
        <w:rPr>
          <w:sz w:val="2"/>
          <w:szCs w:val="2"/>
        </w:rPr>
      </w:pPr>
    </w:p>
    <w:p>
      <w:pPr>
        <w:pStyle w:val="110"/>
        <w:keepNext/>
        <w:rPr>
          <w:rFonts w:eastAsiaTheme="minorHAnsi"/>
          <w:sz w:val="2"/>
          <w:szCs w:val="2"/>
        </w:rPr>
      </w:pPr>
    </w:p>
    <w:p>
      <w:pPr>
        <w:pStyle w:val="110"/>
        <w:keepNext/>
        <w:rPr>
          <w:sz w:val="2"/>
          <w:szCs w:val="2"/>
          <w:lang w:val="en-US"/>
        </w:rPr>
      </w:pPr>
      <w:r>
        <w:rPr>
          <w:sz w:val="2"/>
          <w:szCs w:val="2"/>
          <w:lang w:val="en-US"/>
        </w:rPr>
        <w:t xml:space="preserve"> </w:t>
      </w:r>
    </w:p>
    <w:p>
      <w:pPr>
        <w:pStyle w:val="110"/>
        <w:rPr>
          <w:sz w:val="2"/>
          <w:szCs w:val="2"/>
          <w:lang w:val="en-US"/>
        </w:rPr>
      </w:pPr>
    </w:p>
    <w:tbl>
      <w:tblPr>
        <w:tblStyle w:val="13"/>
        <w:tblpPr w:leftFromText="180" w:rightFromText="180" w:vertAnchor="text" w:horzAnchor="page" w:tblpX="1210" w:tblpY="22"/>
        <w:tblW w:w="14709" w:type="dxa"/>
        <w:tblInd w:w="0" w:type="dxa"/>
        <w:tblLayout w:type="fixed"/>
        <w:tblCellMar>
          <w:top w:w="0" w:type="dxa"/>
          <w:left w:w="108" w:type="dxa"/>
          <w:bottom w:w="0" w:type="dxa"/>
          <w:right w:w="108" w:type="dxa"/>
        </w:tblCellMar>
      </w:tblPr>
      <w:tblGrid>
        <w:gridCol w:w="10881"/>
        <w:gridCol w:w="3828"/>
      </w:tblGrid>
      <w:tr>
        <w:tblPrEx>
          <w:tblCellMar>
            <w:top w:w="0" w:type="dxa"/>
            <w:left w:w="108" w:type="dxa"/>
            <w:bottom w:w="0" w:type="dxa"/>
            <w:right w:w="108" w:type="dxa"/>
          </w:tblCellMar>
        </w:tblPrEx>
        <w:trPr>
          <w:cantSplit/>
        </w:trPr>
        <w:tc>
          <w:tcPr>
            <w:tcW w:w="10881" w:type="dxa"/>
            <w:shd w:val="clear" w:color="auto" w:fill="auto"/>
          </w:tcPr>
          <w:p>
            <w:pPr>
              <w:pStyle w:val="110"/>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pPr>
              <w:pStyle w:val="110"/>
              <w:ind w:left="567"/>
              <w:jc w:val="right"/>
              <w:rPr>
                <w:sz w:val="18"/>
                <w:szCs w:val="18"/>
              </w:rPr>
            </w:pPr>
            <w:r>
              <w:rPr>
                <w:b/>
                <w:sz w:val="18"/>
                <w:szCs w:val="18"/>
              </w:rPr>
              <w:t>(не указано)*</w:t>
            </w:r>
          </w:p>
        </w:tc>
      </w:tr>
    </w:tbl>
    <w:p>
      <w:pPr>
        <w:pStyle w:val="110"/>
        <w:rPr>
          <w:b/>
        </w:rPr>
      </w:pPr>
    </w:p>
    <w:p>
      <w:pPr>
        <w:pStyle w:val="110"/>
        <w:keepNext/>
        <w:rPr>
          <w:sz w:val="2"/>
          <w:szCs w:val="2"/>
        </w:rPr>
      </w:pPr>
    </w:p>
    <w:p>
      <w:pPr>
        <w:pStyle w:val="110"/>
        <w:keepNext/>
        <w:rPr>
          <w:sz w:val="2"/>
          <w:szCs w:val="2"/>
        </w:rPr>
      </w:pPr>
    </w:p>
    <w:p>
      <w:pPr>
        <w:pStyle w:val="110"/>
        <w:keepNext/>
        <w:rPr>
          <w:sz w:val="2"/>
          <w:szCs w:val="2"/>
        </w:rPr>
      </w:pPr>
    </w:p>
    <w:p>
      <w:pPr>
        <w:pStyle w:val="110"/>
        <w:rPr>
          <w:vanish/>
        </w:rPr>
      </w:pPr>
    </w:p>
    <w:p>
      <w:pPr>
        <w:pStyle w:val="110"/>
        <w:keepNext/>
        <w:rPr>
          <w:sz w:val="2"/>
          <w:szCs w:val="2"/>
        </w:rPr>
      </w:pPr>
    </w:p>
    <w:p>
      <w:pPr>
        <w:pStyle w:val="110"/>
        <w:rPr>
          <w:sz w:val="2"/>
          <w:szCs w:val="2"/>
        </w:rPr>
      </w:pPr>
    </w:p>
    <w:p>
      <w:pPr>
        <w:pStyle w:val="110"/>
        <w:rPr>
          <w:sz w:val="2"/>
          <w:szCs w:val="2"/>
          <w:lang w:val="en-US"/>
        </w:rPr>
      </w:pPr>
      <w:r>
        <w:rPr>
          <w:sz w:val="2"/>
          <w:szCs w:val="2"/>
          <w:lang w:val="en-US"/>
        </w:rPr>
        <w:t xml:space="preserve"> </w:t>
      </w:r>
    </w:p>
    <w:p>
      <w:pPr>
        <w:pStyle w:val="110"/>
        <w:rPr>
          <w:rFonts w:eastAsiaTheme="minorHAnsi"/>
          <w:sz w:val="2"/>
          <w:szCs w:val="2"/>
          <w:lang w:val="en-US"/>
        </w:rPr>
      </w:pPr>
    </w:p>
    <w:p>
      <w:pPr>
        <w:keepNext/>
        <w:ind w:firstLine="0"/>
        <w:rPr>
          <w:sz w:val="2"/>
          <w:szCs w:val="2"/>
        </w:rPr>
      </w:pPr>
    </w:p>
    <w:p>
      <w:pPr>
        <w:ind w:firstLine="0"/>
        <w:rPr>
          <w:lang w:val="en-US"/>
        </w:rPr>
      </w:pPr>
    </w:p>
    <w:p>
      <w:pPr>
        <w:pStyle w:val="110"/>
        <w:ind w:firstLine="567"/>
        <w:rPr>
          <w:rFonts w:eastAsiaTheme="minorHAnsi"/>
        </w:rPr>
      </w:pPr>
      <w:r>
        <w:rPr>
          <w:lang w:eastAsia="en-US"/>
        </w:rPr>
        <w:t xml:space="preserve">* Значение заполняется на этапе заключения </w:t>
      </w:r>
      <w:r>
        <w:t>договора</w:t>
      </w:r>
      <w:r>
        <w:rPr>
          <w:lang w:eastAsia="en-US"/>
        </w:rPr>
        <w:t>.</w:t>
      </w:r>
    </w:p>
    <w:p>
      <w:pPr>
        <w:pStyle w:val="110"/>
        <w:ind w:firstLine="567"/>
      </w:pPr>
    </w:p>
    <w:p>
      <w:pPr>
        <w:pStyle w:val="110"/>
        <w:ind w:firstLine="567"/>
      </w:pPr>
    </w:p>
    <w:p>
      <w:pPr>
        <w:pStyle w:val="98"/>
        <w:ind w:left="426" w:firstLine="0"/>
        <w:rPr>
          <w:vanish/>
        </w:rPr>
      </w:pPr>
    </w:p>
    <w:p>
      <w:pPr>
        <w:pStyle w:val="4"/>
        <w:keepLines/>
        <w:widowControl/>
        <w:ind w:left="1077"/>
        <w:textAlignment w:val="auto"/>
        <w:rPr>
          <w:color w:val="000000"/>
          <w:lang w:eastAsia="ru-RU"/>
        </w:rPr>
      </w:pPr>
    </w:p>
    <w:p>
      <w:pPr>
        <w:pStyle w:val="4"/>
        <w:keepLines/>
        <w:widowControl/>
        <w:ind w:left="1077"/>
        <w:textAlignment w:val="auto"/>
        <w:rPr>
          <w:color w:val="000000"/>
          <w:shd w:val="clear" w:color="auto" w:fill="FFFFFF"/>
          <w:lang w:eastAsia="ru-RU"/>
        </w:rPr>
      </w:pPr>
    </w:p>
    <w:p>
      <w:pPr>
        <w:pStyle w:val="2"/>
        <w:ind w:left="567"/>
      </w:pPr>
    </w:p>
    <w:p>
      <w:pPr>
        <w:ind w:firstLine="0"/>
      </w:pPr>
    </w:p>
    <w:p>
      <w:pPr>
        <w:pStyle w:val="110"/>
        <w:keepNext/>
        <w:ind w:firstLine="567"/>
      </w:pPr>
    </w:p>
    <w:p>
      <w:pPr>
        <w:keepNext/>
        <w:suppressAutoHyphens w:val="0"/>
        <w:ind w:firstLine="0"/>
        <w:jc w:val="right"/>
      </w:pPr>
      <w:r>
        <w:t>`</w:t>
      </w:r>
    </w:p>
    <w:p>
      <w:pPr>
        <w:pageBreakBefore/>
        <w:suppressAutoHyphens w:val="0"/>
        <w:ind w:firstLine="0"/>
        <w:jc w:val="right"/>
      </w:pPr>
      <w:r>
        <w:t>Приложение 2 к договору</w:t>
      </w:r>
    </w:p>
    <w:p>
      <w:pPr>
        <w:spacing w:before="180"/>
        <w:ind w:firstLine="562"/>
        <w:jc w:val="right"/>
      </w:pPr>
      <w:r>
        <w:t>от «____» ___________ 20___г. № ___________</w:t>
      </w:r>
    </w:p>
    <w:p>
      <w:pPr>
        <w:jc w:val="right"/>
      </w:pPr>
    </w:p>
    <w:p>
      <w:pPr>
        <w:pStyle w:val="2"/>
      </w:pPr>
      <w:r>
        <w:t xml:space="preserve">Сведения об обязательствах сторон и порядке оплаты </w:t>
      </w:r>
    </w:p>
    <w:p>
      <w:pPr>
        <w:pStyle w:val="4"/>
        <w:numPr>
          <w:ilvl w:val="0"/>
          <w:numId w:val="4"/>
        </w:numPr>
      </w:pPr>
      <w:r>
        <w:rPr>
          <w:lang w:val="en-US"/>
        </w:rPr>
        <w:t>График выполнения обязательств по договору</w:t>
      </w:r>
    </w:p>
    <w:p>
      <w:pPr>
        <w:pStyle w:val="4"/>
        <w:numPr>
          <w:ilvl w:val="1"/>
          <w:numId w:val="5"/>
        </w:numPr>
      </w:pPr>
      <w:r>
        <w:rPr>
          <w:lang w:val="en-US"/>
        </w:rPr>
        <w:t>Обязательства по оказанию услуг</w:t>
      </w:r>
    </w:p>
    <w:p>
      <w:pPr>
        <w:pStyle w:val="112"/>
        <w:spacing w:after="60"/>
      </w:pPr>
      <w:r>
        <w:t>Таблица 2.1</w:t>
      </w:r>
    </w:p>
    <w:tbl>
      <w:tblPr>
        <w:tblStyle w:val="13"/>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8266"/>
        <w:gridCol w:w="1840"/>
        <w:gridCol w:w="16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Borders>
              <w:bottom w:val="single" w:color="auto" w:sz="4" w:space="0"/>
            </w:tcBorders>
            <w:vAlign w:val="center"/>
          </w:tcPr>
          <w:p>
            <w:pPr>
              <w:pStyle w:val="108"/>
              <w:keepNext/>
              <w:jc w:val="center"/>
              <w:rPr>
                <w:sz w:val="18"/>
                <w:szCs w:val="18"/>
              </w:rPr>
            </w:pPr>
            <w:r>
              <w:rPr>
                <w:sz w:val="18"/>
                <w:szCs w:val="18"/>
              </w:rPr>
              <w:t>№</w:t>
            </w:r>
          </w:p>
        </w:tc>
        <w:tc>
          <w:tcPr>
            <w:tcW w:w="2794" w:type="pct"/>
            <w:vAlign w:val="center"/>
          </w:tcPr>
          <w:p>
            <w:pPr>
              <w:pStyle w:val="108"/>
              <w:keepNext/>
              <w:jc w:val="center"/>
              <w:rPr>
                <w:sz w:val="18"/>
                <w:szCs w:val="18"/>
              </w:rPr>
            </w:pPr>
            <w:r>
              <w:rPr>
                <w:bCs/>
                <w:sz w:val="18"/>
                <w:szCs w:val="18"/>
              </w:rPr>
              <w:t>Наименование</w:t>
            </w:r>
            <w:r>
              <w:rPr>
                <w:sz w:val="18"/>
                <w:szCs w:val="18"/>
              </w:rPr>
              <w:t xml:space="preserve"> </w:t>
            </w:r>
          </w:p>
        </w:tc>
        <w:tc>
          <w:tcPr>
            <w:tcW w:w="622" w:type="pct"/>
            <w:vAlign w:val="center"/>
          </w:tcPr>
          <w:p>
            <w:pPr>
              <w:pStyle w:val="108"/>
              <w:keepNext/>
              <w:jc w:val="center"/>
              <w:rPr>
                <w:sz w:val="18"/>
                <w:szCs w:val="18"/>
              </w:rPr>
            </w:pPr>
            <w:r>
              <w:rPr>
                <w:bCs/>
                <w:sz w:val="18"/>
                <w:szCs w:val="18"/>
              </w:rPr>
              <w:t>Условия предоставления результатов</w:t>
            </w:r>
          </w:p>
        </w:tc>
        <w:tc>
          <w:tcPr>
            <w:tcW w:w="567" w:type="pct"/>
            <w:vAlign w:val="center"/>
          </w:tcPr>
          <w:p>
            <w:pPr>
              <w:pStyle w:val="108"/>
              <w:keepNext/>
              <w:jc w:val="center"/>
              <w:rPr>
                <w:sz w:val="18"/>
                <w:szCs w:val="18"/>
              </w:rPr>
            </w:pPr>
            <w:r>
              <w:rPr>
                <w:bCs/>
                <w:sz w:val="18"/>
                <w:szCs w:val="18"/>
              </w:rPr>
              <w:t>Сторона, исполняющая обязательство</w:t>
            </w:r>
          </w:p>
        </w:tc>
        <w:tc>
          <w:tcPr>
            <w:tcW w:w="527" w:type="pct"/>
            <w:vAlign w:val="center"/>
          </w:tcPr>
          <w:p>
            <w:pPr>
              <w:pStyle w:val="108"/>
              <w:keepNext/>
              <w:jc w:val="center"/>
              <w:rPr>
                <w:sz w:val="18"/>
                <w:szCs w:val="18"/>
              </w:rPr>
            </w:pPr>
            <w:r>
              <w:rPr>
                <w:bCs/>
                <w:sz w:val="18"/>
                <w:szCs w:val="18"/>
              </w:rPr>
              <w:t>Сторона, получающая исполнение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restart"/>
            <w:vAlign w:val="center"/>
          </w:tcPr>
          <w:p>
            <w:pPr>
              <w:ind w:firstLine="0"/>
              <w:jc w:val="center"/>
              <w:rPr>
                <w:sz w:val="18"/>
                <w:szCs w:val="18"/>
              </w:rPr>
            </w:pPr>
            <w:r>
              <w:rPr>
                <w:sz w:val="18"/>
                <w:szCs w:val="18"/>
                <w:lang w:val="en-US"/>
              </w:rPr>
              <w:t>1.</w:t>
            </w:r>
          </w:p>
        </w:tc>
        <w:tc>
          <w:tcPr>
            <w:tcW w:w="2794" w:type="pct"/>
            <w:tcBorders>
              <w:bottom w:val="single" w:color="auto" w:sz="4" w:space="0"/>
            </w:tcBorders>
            <w:vAlign w:val="center"/>
          </w:tcPr>
          <w:p>
            <w:pPr>
              <w:ind w:firstLine="52"/>
              <w:rPr>
                <w:sz w:val="18"/>
                <w:szCs w:val="18"/>
              </w:rPr>
            </w:pPr>
            <w:r>
              <w:rPr>
                <w:sz w:val="18"/>
                <w:szCs w:val="18"/>
              </w:rPr>
              <w:t>Выполнение услуги</w:t>
            </w:r>
          </w:p>
        </w:tc>
        <w:tc>
          <w:tcPr>
            <w:tcW w:w="622" w:type="pct"/>
            <w:tcBorders>
              <w:bottom w:val="single" w:color="auto" w:sz="4" w:space="0"/>
            </w:tcBorders>
            <w:vAlign w:val="center"/>
          </w:tcPr>
          <w:p>
            <w:pPr>
              <w:ind w:firstLine="52"/>
              <w:rPr>
                <w:sz w:val="18"/>
                <w:szCs w:val="18"/>
                <w:lang w:val="en-US"/>
              </w:rPr>
            </w:pPr>
            <w:r>
              <w:rPr>
                <w:sz w:val="18"/>
                <w:szCs w:val="18"/>
                <w:lang w:val="en-US"/>
              </w:rPr>
              <w:t>Разово</w:t>
            </w:r>
          </w:p>
        </w:tc>
        <w:tc>
          <w:tcPr>
            <w:tcW w:w="567" w:type="pct"/>
            <w:tcBorders>
              <w:bottom w:val="single" w:color="auto" w:sz="4" w:space="0"/>
            </w:tcBorders>
            <w:vAlign w:val="center"/>
          </w:tcPr>
          <w:p>
            <w:pPr>
              <w:ind w:firstLine="52"/>
              <w:rPr>
                <w:sz w:val="18"/>
                <w:szCs w:val="18"/>
                <w:lang w:val="en-US"/>
              </w:rPr>
            </w:pPr>
            <w:r>
              <w:rPr>
                <w:sz w:val="18"/>
                <w:szCs w:val="18"/>
                <w:lang w:val="en-US"/>
              </w:rPr>
              <w:t>Исполнитель</w:t>
            </w:r>
          </w:p>
        </w:tc>
        <w:tc>
          <w:tcPr>
            <w:tcW w:w="527" w:type="pct"/>
            <w:tcBorders>
              <w:bottom w:val="single" w:color="auto" w:sz="4" w:space="0"/>
            </w:tcBorders>
            <w:vAlign w:val="center"/>
          </w:tcPr>
          <w:p>
            <w:pPr>
              <w:ind w:firstLine="52"/>
              <w:rPr>
                <w:sz w:val="18"/>
                <w:szCs w:val="18"/>
                <w:lang w:val="en-US"/>
              </w:rPr>
            </w:pPr>
            <w:r>
              <w:rPr>
                <w:sz w:val="18"/>
                <w:szCs w:val="18"/>
                <w:lang w:val="en-US"/>
              </w:rPr>
              <w:t>Заказчик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pPr>
              <w:pStyle w:val="98"/>
              <w:numPr>
                <w:ilvl w:val="0"/>
                <w:numId w:val="6"/>
              </w:numPr>
              <w:rPr>
                <w:sz w:val="18"/>
                <w:szCs w:val="18"/>
              </w:rPr>
            </w:pPr>
          </w:p>
        </w:tc>
        <w:tc>
          <w:tcPr>
            <w:tcW w:w="4510" w:type="pct"/>
            <w:gridSpan w:val="4"/>
            <w:tcBorders>
              <w:top w:val="single" w:color="auto" w:sz="4" w:space="0"/>
              <w:bottom w:val="nil"/>
              <w:right w:val="single" w:color="auto" w:sz="4" w:space="0"/>
            </w:tcBorders>
            <w:vAlign w:val="center"/>
          </w:tcPr>
          <w:p>
            <w:pPr>
              <w:keepNext/>
              <w:ind w:firstLine="0"/>
              <w:rPr>
                <w:b/>
                <w:bCs/>
                <w:sz w:val="18"/>
                <w:szCs w:val="18"/>
              </w:rPr>
            </w:pPr>
            <w:r>
              <w:rPr>
                <w:b/>
                <w:bCs/>
                <w:sz w:val="18"/>
                <w:szCs w:val="18"/>
              </w:rPr>
              <w:t>Объект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pPr>
              <w:pStyle w:val="98"/>
              <w:numPr>
                <w:ilvl w:val="0"/>
                <w:numId w:val="6"/>
              </w:numPr>
              <w:rPr>
                <w:sz w:val="18"/>
                <w:szCs w:val="18"/>
              </w:rPr>
            </w:pPr>
          </w:p>
        </w:tc>
        <w:tc>
          <w:tcPr>
            <w:tcW w:w="4510" w:type="pct"/>
            <w:gridSpan w:val="4"/>
            <w:tcBorders>
              <w:top w:val="nil"/>
              <w:bottom w:val="nil"/>
              <w:right w:val="single" w:color="auto" w:sz="4" w:space="0"/>
            </w:tcBorders>
            <w:vAlign w:val="center"/>
          </w:tcPr>
          <w:p>
            <w:pPr>
              <w:ind w:firstLine="0"/>
              <w:rPr>
                <w:sz w:val="18"/>
                <w:szCs w:val="18"/>
                <w:lang w:val="en-US"/>
              </w:rPr>
            </w:pPr>
            <w:r>
              <w:rPr>
                <w:sz w:val="18"/>
                <w:szCs w:val="18"/>
                <w:lang w:val="en-US"/>
              </w:rPr>
              <w:t xml:space="preserve">Услуги по проведению финансового аудита; 165 000,00 руб.*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pPr>
              <w:pStyle w:val="98"/>
              <w:numPr>
                <w:ilvl w:val="0"/>
                <w:numId w:val="6"/>
              </w:numPr>
              <w:rPr>
                <w:sz w:val="18"/>
                <w:szCs w:val="18"/>
                <w:lang w:val="en-US"/>
              </w:rPr>
            </w:pPr>
          </w:p>
        </w:tc>
        <w:tc>
          <w:tcPr>
            <w:tcW w:w="4510" w:type="pct"/>
            <w:gridSpan w:val="4"/>
            <w:tcBorders>
              <w:top w:val="nil"/>
              <w:right w:val="single" w:color="auto" w:sz="4" w:space="0"/>
            </w:tcBorders>
            <w:tcMar>
              <w:left w:w="115" w:type="dxa"/>
              <w:right w:w="115" w:type="dxa"/>
            </w:tcMar>
            <w:vAlign w:val="center"/>
          </w:tcPr>
          <w:p>
            <w:pPr>
              <w:ind w:firstLine="0"/>
              <w:rPr>
                <w:sz w:val="18"/>
                <w:szCs w:val="18"/>
                <w:lang w:val="en-US"/>
              </w:rPr>
            </w:pPr>
          </w:p>
          <w:p>
            <w:pPr>
              <w:ind w:firstLine="0"/>
              <w:rPr>
                <w:sz w:val="18"/>
                <w:szCs w:val="18"/>
                <w:lang w:val="en-US"/>
              </w:rPr>
            </w:pPr>
            <w:r>
              <w:rPr>
                <w:b/>
                <w:sz w:val="18"/>
                <w:szCs w:val="18"/>
                <w:lang w:val="en-US"/>
              </w:rPr>
              <w:t>Срок начала оказания услуг Исполнителем**:</w:t>
            </w:r>
            <w:r>
              <w:rPr>
                <w:sz w:val="18"/>
                <w:szCs w:val="18"/>
                <w:lang w:val="en-US"/>
              </w:rPr>
              <w:t xml:space="preserve"> 1 дн. от даты заключения договора;</w:t>
            </w:r>
          </w:p>
          <w:p>
            <w:pPr>
              <w:ind w:firstLine="0"/>
              <w:rPr>
                <w:sz w:val="18"/>
                <w:szCs w:val="18"/>
                <w:lang w:val="en-US"/>
              </w:rPr>
            </w:pPr>
            <w:r>
              <w:rPr>
                <w:b/>
                <w:sz w:val="18"/>
                <w:szCs w:val="18"/>
                <w:lang w:val="en-US"/>
              </w:rPr>
              <w:t>Срок окончания оказания услуг Исполнителем**:</w:t>
            </w:r>
            <w:r>
              <w:rPr>
                <w:sz w:val="18"/>
                <w:szCs w:val="18"/>
                <w:lang w:val="en-US"/>
              </w:rPr>
              <w:t xml:space="preserve"> 15 дн. от даты заключения договора;</w:t>
            </w:r>
          </w:p>
        </w:tc>
      </w:tr>
    </w:tbl>
    <w:p>
      <w:pPr>
        <w:ind w:firstLine="0"/>
        <w:rPr>
          <w:lang w:val="en-US"/>
        </w:rPr>
      </w:pPr>
    </w:p>
    <w:p>
      <w:pPr>
        <w:ind w:firstLine="0"/>
      </w:pPr>
      <w:r>
        <w:t>* На этапе заключения договора уточняется в соответствии с предложением участника закупки.</w:t>
      </w:r>
    </w:p>
    <w:p>
      <w:pPr>
        <w:ind w:firstLine="0"/>
      </w:pPr>
      <w:r>
        <w:t xml:space="preserve">**Указанные сроки включаются в срок исполнения </w:t>
      </w:r>
      <w:r>
        <w:rPr>
          <w:color w:val="000000"/>
          <w:shd w:val="clear" w:color="auto" w:fill="FFFFFF"/>
        </w:rPr>
        <w:t>договора</w:t>
      </w:r>
      <w:r>
        <w:t>.</w:t>
      </w:r>
    </w:p>
    <w:p>
      <w:pPr>
        <w:pStyle w:val="4"/>
        <w:numPr>
          <w:ilvl w:val="0"/>
          <w:numId w:val="4"/>
        </w:numPr>
      </w:pPr>
      <w:r>
        <w:t>Порядок и сроки осуществления приемки и оформления результатов</w:t>
      </w:r>
    </w:p>
    <w:p>
      <w:pPr>
        <w:pStyle w:val="112"/>
        <w:spacing w:after="60"/>
      </w:pPr>
      <w:r>
        <w:t>Таблица 2.2</w:t>
      </w:r>
    </w:p>
    <w:p>
      <w:pPr>
        <w:pStyle w:val="112"/>
        <w:spacing w:after="60"/>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771"/>
        <w:gridCol w:w="2404"/>
        <w:gridCol w:w="2653"/>
        <w:gridCol w:w="2469"/>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Ответственная сторона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Выполнение услуги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Акт о приёмке выполненных работ</w:t>
            </w:r>
          </w:p>
        </w:tc>
        <w:tc>
          <w:tcPr>
            <w:tcW w:w="897"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Исполнитель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3" w:type="pct"/>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937" w:type="pct"/>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813" w:type="pct"/>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Заказчик</w:t>
            </w:r>
          </w:p>
        </w:tc>
      </w:tr>
    </w:tbl>
    <w:p/>
    <w:p>
      <w:pPr>
        <w:ind w:firstLine="0"/>
      </w:pPr>
      <w:r>
        <w:t xml:space="preserve">**Указанные сроки включаются в срок исполнения </w:t>
      </w:r>
      <w:r>
        <w:rPr>
          <w:color w:val="000000"/>
          <w:shd w:val="clear" w:color="auto" w:fill="FFFFFF"/>
        </w:rPr>
        <w:t>договора</w:t>
      </w:r>
      <w:r>
        <w:t>.</w:t>
      </w:r>
    </w:p>
    <w:p>
      <w:pPr>
        <w:rPr>
          <w:lang w:val="en-US"/>
        </w:rPr>
      </w:pPr>
    </w:p>
    <w:p>
      <w:pPr>
        <w:pStyle w:val="4"/>
        <w:ind w:left="357"/>
      </w:pPr>
      <w:r>
        <w:rPr>
          <w:rFonts w:eastAsiaTheme="minorHAnsi"/>
          <w:color w:val="auto"/>
          <w:spacing w:val="0"/>
          <w:kern w:val="0"/>
          <w:lang w:val="en-US"/>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pPr>
        <w:pStyle w:val="112"/>
        <w:spacing w:after="60"/>
        <w:ind w:firstLine="0"/>
      </w:pPr>
      <w:r>
        <w:t>Таблица 2.</w:t>
      </w:r>
      <w:r>
        <w:rPr>
          <w:lang w:val="en-US"/>
        </w:rPr>
        <w:t>3</w:t>
      </w:r>
    </w:p>
    <w:tbl>
      <w:tblPr>
        <w:tblStyle w:val="13"/>
        <w:tblW w:w="50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921"/>
        <w:gridCol w:w="2072"/>
        <w:gridCol w:w="2161"/>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 w:hRule="atLeast"/>
          <w:tblHeader/>
        </w:trPr>
        <w:tc>
          <w:tcPr>
            <w:tcW w:w="715" w:type="dxa"/>
            <w:vAlign w:val="center"/>
          </w:tcPr>
          <w:p>
            <w:pPr>
              <w:pStyle w:val="108"/>
              <w:keepNext/>
              <w:jc w:val="center"/>
              <w:rPr>
                <w:sz w:val="18"/>
                <w:szCs w:val="18"/>
              </w:rPr>
            </w:pPr>
            <w:r>
              <w:rPr>
                <w:sz w:val="18"/>
                <w:szCs w:val="18"/>
              </w:rPr>
              <w:t>№</w:t>
            </w:r>
          </w:p>
        </w:tc>
        <w:tc>
          <w:tcPr>
            <w:tcW w:w="7799" w:type="dxa"/>
            <w:vAlign w:val="center"/>
          </w:tcPr>
          <w:p>
            <w:pPr>
              <w:pStyle w:val="108"/>
              <w:keepNext/>
              <w:jc w:val="center"/>
              <w:rPr>
                <w:sz w:val="18"/>
                <w:szCs w:val="18"/>
              </w:rPr>
            </w:pPr>
            <w:r>
              <w:rPr>
                <w:sz w:val="18"/>
                <w:szCs w:val="18"/>
              </w:rPr>
              <w:t>Наименование</w:t>
            </w:r>
          </w:p>
        </w:tc>
        <w:tc>
          <w:tcPr>
            <w:tcW w:w="2040" w:type="dxa"/>
            <w:vAlign w:val="center"/>
          </w:tcPr>
          <w:p>
            <w:pPr>
              <w:pStyle w:val="108"/>
              <w:keepNext/>
              <w:jc w:val="center"/>
              <w:rPr>
                <w:sz w:val="18"/>
                <w:szCs w:val="18"/>
              </w:rPr>
            </w:pPr>
            <w:r>
              <w:rPr>
                <w:sz w:val="18"/>
                <w:szCs w:val="18"/>
              </w:rPr>
              <w:t>Аванс/Оплата</w:t>
            </w:r>
          </w:p>
        </w:tc>
        <w:tc>
          <w:tcPr>
            <w:tcW w:w="2128" w:type="dxa"/>
            <w:vAlign w:val="center"/>
          </w:tcPr>
          <w:p>
            <w:pPr>
              <w:pStyle w:val="108"/>
              <w:keepNext/>
              <w:jc w:val="center"/>
              <w:rPr>
                <w:sz w:val="18"/>
                <w:szCs w:val="18"/>
              </w:rPr>
            </w:pPr>
            <w:r>
              <w:rPr>
                <w:sz w:val="18"/>
                <w:szCs w:val="18"/>
              </w:rPr>
              <w:t>Учёт неустойки</w:t>
            </w:r>
          </w:p>
        </w:tc>
        <w:tc>
          <w:tcPr>
            <w:tcW w:w="2136" w:type="dxa"/>
            <w:vAlign w:val="center"/>
          </w:tcPr>
          <w:p>
            <w:pPr>
              <w:pStyle w:val="3"/>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715" w:type="dxa"/>
            <w:vMerge w:val="restart"/>
            <w:vAlign w:val="center"/>
          </w:tcPr>
          <w:p>
            <w:pPr>
              <w:pStyle w:val="110"/>
              <w:ind w:left="162"/>
              <w:jc w:val="center"/>
              <w:rPr>
                <w:sz w:val="18"/>
                <w:szCs w:val="18"/>
                <w:lang w:val="en-US"/>
              </w:rPr>
            </w:pPr>
            <w:r>
              <w:rPr>
                <w:sz w:val="18"/>
                <w:szCs w:val="18"/>
                <w:lang w:val="en-US"/>
              </w:rPr>
              <w:t>1.</w:t>
            </w:r>
          </w:p>
        </w:tc>
        <w:tc>
          <w:tcPr>
            <w:tcW w:w="7799" w:type="dxa"/>
            <w:tcBorders>
              <w:bottom w:val="single" w:color="auto" w:sz="4" w:space="0"/>
            </w:tcBorders>
            <w:vAlign w:val="center"/>
          </w:tcPr>
          <w:p>
            <w:pPr>
              <w:pStyle w:val="110"/>
              <w:rPr>
                <w:sz w:val="18"/>
                <w:szCs w:val="18"/>
                <w:lang w:val="en-US"/>
              </w:rPr>
            </w:pPr>
            <w:r>
              <w:rPr>
                <w:sz w:val="18"/>
                <w:szCs w:val="18"/>
              </w:rPr>
              <w:t>Оплата №01</w:t>
            </w:r>
          </w:p>
        </w:tc>
        <w:tc>
          <w:tcPr>
            <w:tcW w:w="2040" w:type="dxa"/>
            <w:tcBorders>
              <w:bottom w:val="single" w:color="auto" w:sz="4" w:space="0"/>
            </w:tcBorders>
            <w:vAlign w:val="center"/>
          </w:tcPr>
          <w:p>
            <w:pPr>
              <w:pStyle w:val="110"/>
              <w:jc w:val="center"/>
              <w:rPr>
                <w:sz w:val="18"/>
                <w:szCs w:val="18"/>
                <w:lang w:val="en-US"/>
              </w:rPr>
            </w:pPr>
            <w:r>
              <w:rPr>
                <w:sz w:val="18"/>
                <w:szCs w:val="18"/>
              </w:rPr>
              <w:t>Оплата</w:t>
            </w:r>
          </w:p>
        </w:tc>
        <w:tc>
          <w:tcPr>
            <w:tcW w:w="2128" w:type="dxa"/>
            <w:tcBorders>
              <w:bottom w:val="single" w:color="auto" w:sz="4" w:space="0"/>
            </w:tcBorders>
            <w:vAlign w:val="center"/>
          </w:tcPr>
          <w:p>
            <w:pPr>
              <w:pStyle w:val="3"/>
              <w:jc w:val="center"/>
              <w:rPr>
                <w:rFonts w:ascii="Times New Roman" w:hAnsi="Times New Roman" w:cs="Times New Roman" w:eastAsiaTheme="minorHAnsi"/>
                <w:kern w:val="0"/>
                <w:lang w:val="en-US"/>
              </w:rPr>
            </w:pPr>
            <w:r>
              <w:rPr>
                <w:rFonts w:ascii="Times New Roman" w:hAnsi="Times New Roman" w:cs="Times New Roman"/>
                <w:lang w:val="en-US"/>
              </w:rPr>
              <w:t>Оплата за вычетом неустойки</w:t>
            </w:r>
            <w:r>
              <w:rPr>
                <w:rFonts w:ascii="Times New Roman" w:hAnsi="Times New Roman" w:cs="Times New Roman" w:eastAsiaTheme="minorHAnsi"/>
                <w:b/>
                <w:kern w:val="0"/>
                <w:lang w:val="en-US" w:eastAsia="en-US"/>
              </w:rPr>
              <w:t>***</w:t>
            </w:r>
            <w:r>
              <w:rPr>
                <w:rFonts w:ascii="Times New Roman" w:hAnsi="Times New Roman" w:cs="Times New Roman"/>
                <w:b/>
                <w:lang w:val="en-US"/>
              </w:rPr>
              <w:t xml:space="preserve"> </w:t>
            </w:r>
            <w:r>
              <w:rPr>
                <w:rFonts w:ascii="Times New Roman" w:hAnsi="Times New Roman" w:cs="Times New Roman"/>
                <w:lang w:val="en-US"/>
              </w:rPr>
              <w:t xml:space="preserve"> </w:t>
            </w:r>
          </w:p>
        </w:tc>
        <w:tc>
          <w:tcPr>
            <w:tcW w:w="2136" w:type="dxa"/>
            <w:tcBorders>
              <w:bottom w:val="single" w:color="auto" w:sz="4" w:space="0"/>
            </w:tcBorders>
            <w:vAlign w:val="center"/>
          </w:tcPr>
          <w:p>
            <w:pPr>
              <w:pStyle w:val="110"/>
              <w:jc w:val="right"/>
              <w:rPr>
                <w:sz w:val="18"/>
                <w:szCs w:val="18"/>
              </w:rPr>
            </w:pPr>
            <w:r>
              <w:rPr>
                <w:sz w:val="18"/>
                <w:szCs w:val="18"/>
              </w:rPr>
              <w:t xml:space="preserve">100% По фактическому объёму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15" w:type="dxa"/>
            <w:vMerge w:val="continue"/>
            <w:vAlign w:val="center"/>
          </w:tcPr>
          <w:p>
            <w:pPr>
              <w:pStyle w:val="110"/>
              <w:numPr>
                <w:ilvl w:val="0"/>
                <w:numId w:val="7"/>
              </w:numPr>
              <w:ind w:left="0" w:firstLine="0"/>
              <w:rPr>
                <w:sz w:val="18"/>
                <w:szCs w:val="18"/>
              </w:rPr>
            </w:pPr>
          </w:p>
        </w:tc>
        <w:tc>
          <w:tcPr>
            <w:tcW w:w="14103" w:type="dxa"/>
            <w:gridSpan w:val="4"/>
            <w:vAlign w:val="center"/>
          </w:tcPr>
          <w:p>
            <w:pPr>
              <w:pStyle w:val="110"/>
              <w:rPr>
                <w:sz w:val="18"/>
                <w:szCs w:val="18"/>
                <w:lang w:val="en-US"/>
              </w:rPr>
            </w:pPr>
            <w:r>
              <w:rPr>
                <w:b/>
                <w:sz w:val="18"/>
                <w:szCs w:val="18"/>
                <w:lang w:val="en-US"/>
              </w:rPr>
              <w:t>Срок исполнения обязательства Заказчиком**:</w:t>
            </w:r>
            <w:r>
              <w:rPr>
                <w:sz w:val="18"/>
                <w:szCs w:val="18"/>
                <w:lang w:val="en-US"/>
              </w:rPr>
              <w:t>7 раб. дн. от даты подписания документа-предшественника «Акт о приёмке выполненных работ» (Выполнение услуги);</w:t>
            </w:r>
          </w:p>
        </w:tc>
      </w:tr>
    </w:tbl>
    <w:p>
      <w:pPr>
        <w:pStyle w:val="112"/>
        <w:ind w:firstLine="0"/>
        <w:jc w:val="left"/>
        <w:rPr>
          <w:iCs w:val="0"/>
          <w:lang w:val="en-US"/>
        </w:rPr>
      </w:pPr>
    </w:p>
    <w:p>
      <w:pPr>
        <w:pStyle w:val="3"/>
        <w:jc w:val="both"/>
        <w:rPr>
          <w:rFonts w:ascii="Times New Roman" w:hAnsi="Times New Roman" w:cs="Times New Roman"/>
          <w:color w:val="000000"/>
          <w:sz w:val="21"/>
          <w:szCs w:val="21"/>
          <w:shd w:val="clear" w:color="auto" w:fill="FFFFFF"/>
        </w:rPr>
      </w:pPr>
      <w:r>
        <w:rPr>
          <w:rFonts w:ascii="Times New Roman" w:hAnsi="Times New Roman" w:cs="Times New Roman" w:eastAsiaTheme="minorHAnsi"/>
          <w:kern w:val="0"/>
          <w:sz w:val="24"/>
          <w:szCs w:val="24"/>
          <w:lang w:eastAsia="en-US"/>
        </w:rPr>
        <w:t>*</w:t>
      </w:r>
      <w:r>
        <w:rPr>
          <w:rFonts w:ascii="Times New Roman" w:hAnsi="Times New Roman" w:cs="Times New Roman"/>
          <w:sz w:val="24"/>
          <w:szCs w:val="24"/>
        </w:rPr>
        <w:t xml:space="preserve"> </w:t>
      </w:r>
      <w:r>
        <w:rPr>
          <w:rFonts w:ascii="Times New Roman" w:hAnsi="Times New Roman" w:cs="Times New Roman" w:eastAsiaTheme="minorHAnsi"/>
          <w:kern w:val="0"/>
          <w:sz w:val="24"/>
          <w:szCs w:val="24"/>
          <w:lang w:eastAsia="en-US"/>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w:t>
      </w:r>
      <w:r>
        <w:rPr>
          <w:rFonts w:ascii="Times New Roman" w:hAnsi="Times New Roman" w:cs="Times New Roman"/>
          <w:color w:val="000000"/>
          <w:sz w:val="21"/>
          <w:szCs w:val="21"/>
          <w:shd w:val="clear" w:color="auto" w:fill="FFFFFF"/>
        </w:rPr>
        <w:t>.</w:t>
      </w:r>
    </w:p>
    <w:p>
      <w:pPr>
        <w:ind w:firstLine="0"/>
      </w:pPr>
      <w:r>
        <w:rPr>
          <w:lang w:eastAsia="en-US"/>
        </w:rPr>
        <w:t xml:space="preserve">** </w:t>
      </w:r>
      <w:r>
        <w:t xml:space="preserve">Указанные сроки включаются в срок исполнения </w:t>
      </w:r>
      <w:r>
        <w:rPr>
          <w:color w:val="000000"/>
          <w:shd w:val="clear" w:color="auto" w:fill="FFFFFF"/>
        </w:rPr>
        <w:t>договора</w:t>
      </w:r>
      <w:r>
        <w:t>.</w:t>
      </w:r>
    </w:p>
    <w:p>
      <w:pPr>
        <w:pStyle w:val="3"/>
        <w:jc w:val="both"/>
        <w:rPr>
          <w:rFonts w:ascii="Times New Roman" w:hAnsi="Times New Roman" w:cs="Times New Roman"/>
        </w:rPr>
      </w:pPr>
      <w:r>
        <w:rPr>
          <w:rFonts w:ascii="Times New Roman" w:hAnsi="Times New Roman" w:cs="Times New Roman" w:eastAsiaTheme="minorHAnsi"/>
          <w:kern w:val="0"/>
          <w:sz w:val="24"/>
          <w:szCs w:val="24"/>
          <w:lang w:eastAsia="en-US"/>
        </w:rPr>
        <w:t>***</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pPr>
        <w:ind w:firstLine="0"/>
      </w:pPr>
      <w:r>
        <w:t xml:space="preserve"> </w:t>
      </w:r>
    </w:p>
    <w:p>
      <w:pPr>
        <w:pStyle w:val="3"/>
        <w:jc w:val="both"/>
        <w:rPr>
          <w:rFonts w:ascii="Times New Roman" w:hAnsi="Times New Roman" w:cs="Times New Roman"/>
        </w:rPr>
      </w:pPr>
    </w:p>
    <w:p>
      <w:pPr>
        <w:pStyle w:val="3"/>
        <w:jc w:val="both"/>
        <w:rPr>
          <w:rFonts w:ascii="Times New Roman" w:hAnsi="Times New Roman" w:cs="Times New Roman"/>
          <w:vanish/>
          <w:kern w:val="18"/>
        </w:rPr>
      </w:pPr>
    </w:p>
    <w:p>
      <w:pPr>
        <w:pStyle w:val="4"/>
        <w:ind w:left="357"/>
        <w:rPr>
          <w:rFonts w:eastAsiaTheme="minorHAnsi"/>
          <w:color w:val="auto"/>
          <w:spacing w:val="0"/>
          <w:kern w:val="0"/>
          <w:lang w:val="en-US"/>
        </w:rPr>
      </w:pPr>
      <w:r>
        <w:rPr>
          <w:rFonts w:eastAsiaTheme="minorHAnsi"/>
          <w:bCs w:val="0"/>
          <w:color w:val="auto"/>
          <w:spacing w:val="0"/>
          <w:kern w:val="0"/>
          <w:lang w:val="en-US"/>
        </w:rPr>
        <w:t>4</w:t>
      </w:r>
      <w:r>
        <w:rPr>
          <w:rFonts w:eastAsiaTheme="minorHAnsi"/>
          <w:bCs w:val="0"/>
          <w:color w:val="auto"/>
          <w:spacing w:val="0"/>
          <w:kern w:val="0"/>
        </w:rPr>
        <w:t>.</w:t>
      </w:r>
      <w:r>
        <w:rPr>
          <w:rFonts w:eastAsiaTheme="minorHAnsi"/>
          <w:b w:val="0"/>
          <w:bCs w:val="0"/>
          <w:color w:val="auto"/>
          <w:spacing w:val="0"/>
          <w:kern w:val="0"/>
        </w:rPr>
        <w:t xml:space="preserve">  </w:t>
      </w:r>
      <w:r>
        <w:rPr>
          <w:lang w:val="en-US"/>
        </w:rPr>
        <w:t>Место оказания услуг</w:t>
      </w:r>
    </w:p>
    <w:p>
      <w:pPr>
        <w:keepNext/>
        <w:spacing w:after="60"/>
        <w:jc w:val="right"/>
        <w:rPr>
          <w:lang w:val="en-US"/>
        </w:rPr>
      </w:pPr>
      <w:r>
        <w:t>Таблица</w:t>
      </w:r>
      <w:r>
        <w:rPr>
          <w:lang w:val="en-US"/>
        </w:rPr>
        <w:t xml:space="preserve"> 2.4</w:t>
      </w:r>
      <w:r>
        <w:t xml:space="preserve"> </w:t>
      </w:r>
    </w:p>
    <w:p>
      <w:pPr>
        <w:jc w:val="right"/>
        <w:rPr>
          <w:vanish/>
          <w:lang w:val="en-US"/>
        </w:rPr>
      </w:pPr>
    </w:p>
    <w:tbl>
      <w:tblPr>
        <w:tblStyle w:val="13"/>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1"/>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lang w:val="en-US"/>
              </w:rPr>
            </w:pPr>
            <w:r>
              <w:rPr>
                <w:sz w:val="18"/>
                <w:szCs w:val="18"/>
                <w:lang w:val="en-US"/>
              </w:rPr>
              <w:t>Место оказания услуг</w:t>
            </w:r>
            <w:r>
              <w:rPr>
                <w:rFonts w:eastAsiaTheme="minorHAnsi"/>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1" w:type="dxa"/>
            <w:tcBorders>
              <w:top w:val="single" w:color="auto" w:sz="4" w:space="0"/>
              <w:left w:val="single" w:color="auto" w:sz="4" w:space="0"/>
              <w:bottom w:val="single" w:color="auto" w:sz="4" w:space="0"/>
              <w:right w:val="single" w:color="auto" w:sz="4" w:space="0"/>
            </w:tcBorders>
            <w:vAlign w:val="center"/>
          </w:tcPr>
          <w:p>
            <w:pPr>
              <w:keepNext/>
              <w:ind w:firstLine="0"/>
              <w:rPr>
                <w:sz w:val="18"/>
                <w:szCs w:val="18"/>
                <w:lang w:val="en-US"/>
              </w:rPr>
            </w:pPr>
            <w:r>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pPr>
              <w:keepNext/>
              <w:ind w:firstLine="0"/>
              <w:rPr>
                <w:sz w:val="18"/>
                <w:szCs w:val="18"/>
                <w:lang w:val="en-US"/>
              </w:rPr>
            </w:pPr>
            <w:r>
              <w:rPr>
                <w:sz w:val="18"/>
                <w:szCs w:val="18"/>
                <w:lang w:val="en-US"/>
              </w:rPr>
              <w:t>Московская область городской округ Кашира ул. Советская дом 28 помещения 140-143</w:t>
            </w:r>
          </w:p>
        </w:tc>
      </w:tr>
    </w:tbl>
    <w:p>
      <w:pPr>
        <w:keepNext/>
        <w:rPr>
          <w:rFonts w:eastAsia="Calibri"/>
          <w:iCs/>
          <w:kern w:val="1"/>
          <w:sz w:val="18"/>
          <w:szCs w:val="18"/>
        </w:rPr>
      </w:pPr>
    </w:p>
    <w:p>
      <w:pPr>
        <w:pStyle w:val="4"/>
        <w:ind w:left="357"/>
        <w:rPr>
          <w:rFonts w:eastAsiaTheme="minorHAnsi"/>
          <w:bCs w:val="0"/>
          <w:color w:val="auto"/>
          <w:spacing w:val="0"/>
          <w:kern w:val="0"/>
        </w:rPr>
      </w:pPr>
      <w:r>
        <w:rPr>
          <w:rFonts w:eastAsiaTheme="minorHAnsi"/>
          <w:bCs w:val="0"/>
          <w:color w:val="auto"/>
          <w:spacing w:val="0"/>
          <w:kern w:val="0"/>
        </w:rPr>
        <w:t>5.</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договора</w:t>
      </w:r>
      <w:r>
        <w:rPr>
          <w:rFonts w:eastAsiaTheme="minorHAnsi"/>
          <w:bCs w:val="0"/>
          <w:color w:val="auto"/>
          <w:spacing w:val="0"/>
          <w:kern w:val="0"/>
        </w:rPr>
        <w:t xml:space="preserve"> (отдельных этапов исполнения </w:t>
      </w:r>
      <w:r>
        <w:t>договора</w:t>
      </w:r>
      <w:r>
        <w:rPr>
          <w:rFonts w:eastAsiaTheme="minorHAnsi"/>
          <w:bCs w:val="0"/>
          <w:color w:val="auto"/>
          <w:spacing w:val="0"/>
          <w:kern w:val="0"/>
        </w:rPr>
        <w:t>)</w:t>
      </w:r>
    </w:p>
    <w:p>
      <w:pPr>
        <w:pStyle w:val="4"/>
        <w:ind w:left="357"/>
        <w:rPr>
          <w:rFonts w:eastAsiaTheme="minorHAnsi"/>
          <w:bCs w:val="0"/>
          <w:color w:val="auto"/>
          <w:spacing w:val="0"/>
          <w:kern w:val="0"/>
        </w:rPr>
      </w:pPr>
      <w:r>
        <w:rPr>
          <w:rFonts w:eastAsiaTheme="minorHAnsi"/>
          <w:bCs w:val="0"/>
          <w:color w:val="auto"/>
          <w:spacing w:val="0"/>
          <w:kern w:val="0"/>
        </w:rPr>
        <w:t>5.1.</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договора</w:t>
      </w:r>
    </w:p>
    <w:p>
      <w:pPr>
        <w:keepNext/>
        <w:spacing w:after="60"/>
        <w:jc w:val="right"/>
      </w:pPr>
      <w:r>
        <w:t>Таблица 2.</w:t>
      </w:r>
      <w:r>
        <w:rPr>
          <w:lang w:val="en-US"/>
        </w:rPr>
        <w:t>5</w:t>
      </w:r>
      <w:r>
        <w:t xml:space="preserve"> </w:t>
      </w:r>
    </w:p>
    <w:tbl>
      <w:tblPr>
        <w:tblStyle w:val="29"/>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tcBorders>
              <w:top w:val="single" w:color="auto" w:sz="4" w:space="0"/>
              <w:left w:val="single" w:color="auto" w:sz="4" w:space="0"/>
              <w:bottom w:val="single" w:color="auto" w:sz="4" w:space="0"/>
              <w:right w:val="single" w:color="auto" w:sz="4" w:space="0"/>
            </w:tcBorders>
          </w:tcPr>
          <w:p>
            <w:pPr>
              <w:keepNext/>
              <w:ind w:firstLine="0"/>
              <w:rPr>
                <w:sz w:val="18"/>
                <w:szCs w:val="18"/>
              </w:rPr>
            </w:pPr>
            <w:r>
              <w:rPr>
                <w:rFonts w:eastAsia="Times New Roman"/>
                <w:bCs/>
                <w:color w:val="00000A"/>
                <w:spacing w:val="-4"/>
                <w:kern w:val="2"/>
                <w:sz w:val="18"/>
                <w:szCs w:val="18"/>
              </w:rPr>
              <w:t xml:space="preserve">Начало исполнения </w:t>
            </w:r>
            <w:r>
              <w:rPr>
                <w:sz w:val="18"/>
                <w:szCs w:val="18"/>
              </w:rPr>
              <w:t>договора</w:t>
            </w:r>
          </w:p>
          <w:p>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pPr>
              <w:keepNext/>
              <w:ind w:firstLine="0"/>
              <w:rPr>
                <w:rFonts w:eastAsia="Times New Roman"/>
                <w:b/>
                <w:bCs/>
                <w:color w:val="00000A"/>
                <w:spacing w:val="-4"/>
                <w:kern w:val="2"/>
                <w:sz w:val="18"/>
                <w:szCs w:val="18"/>
              </w:rPr>
            </w:pPr>
            <w:r>
              <w:rPr>
                <w:sz w:val="18"/>
                <w:szCs w:val="18"/>
                <w:lang w:val="en-GB" w:eastAsia="ru-RU"/>
              </w:rPr>
              <w:t>1 дн. от даты заключения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tcBorders>
              <w:top w:val="single" w:color="auto" w:sz="4" w:space="0"/>
              <w:left w:val="single" w:color="auto" w:sz="4" w:space="0"/>
              <w:bottom w:val="single" w:color="auto" w:sz="4" w:space="0"/>
              <w:right w:val="single" w:color="auto" w:sz="4" w:space="0"/>
            </w:tcBorders>
          </w:tcPr>
          <w:p>
            <w:pPr>
              <w:keepNext/>
              <w:ind w:firstLine="0"/>
              <w:rPr>
                <w:sz w:val="18"/>
                <w:szCs w:val="18"/>
              </w:rPr>
            </w:pPr>
            <w:r>
              <w:rPr>
                <w:rFonts w:eastAsia="Times New Roman"/>
                <w:bCs/>
                <w:color w:val="00000A"/>
                <w:spacing w:val="-4"/>
                <w:kern w:val="2"/>
                <w:sz w:val="18"/>
                <w:szCs w:val="18"/>
              </w:rPr>
              <w:t xml:space="preserve">Срок окончания исполнения </w:t>
            </w:r>
            <w:r>
              <w:rPr>
                <w:sz w:val="18"/>
                <w:szCs w:val="18"/>
              </w:rPr>
              <w:t>договора</w:t>
            </w:r>
          </w:p>
          <w:p>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pPr>
              <w:keepNext/>
              <w:ind w:firstLine="0"/>
              <w:rPr>
                <w:rFonts w:eastAsia="Times New Roman"/>
                <w:bCs/>
                <w:color w:val="00000A"/>
                <w:spacing w:val="-4"/>
                <w:kern w:val="2"/>
                <w:sz w:val="18"/>
                <w:szCs w:val="18"/>
                <w:lang w:val="en-US"/>
              </w:rPr>
            </w:pPr>
            <w:r>
              <w:rPr>
                <w:sz w:val="18"/>
                <w:szCs w:val="18"/>
                <w:lang w:eastAsia="ru-RU"/>
              </w:rPr>
              <w:t>15 дн. от даты заключения договора</w:t>
            </w:r>
          </w:p>
        </w:tc>
      </w:tr>
    </w:tbl>
    <w:p>
      <w:pPr>
        <w:pStyle w:val="4"/>
        <w:ind w:left="357"/>
        <w:rPr>
          <w:rFonts w:eastAsiaTheme="minorHAnsi"/>
          <w:bCs w:val="0"/>
          <w:color w:val="auto"/>
          <w:spacing w:val="0"/>
          <w:kern w:val="0"/>
        </w:rPr>
      </w:pPr>
      <w:r>
        <w:rPr>
          <w:rFonts w:eastAsiaTheme="minorHAnsi"/>
          <w:bCs w:val="0"/>
          <w:color w:val="auto"/>
          <w:spacing w:val="0"/>
          <w:kern w:val="0"/>
          <w:lang w:val="en-US"/>
        </w:rPr>
        <w:t>5</w:t>
      </w:r>
      <w:r>
        <w:rPr>
          <w:rFonts w:eastAsiaTheme="minorHAnsi"/>
          <w:bCs w:val="0"/>
          <w:color w:val="auto"/>
          <w:spacing w:val="0"/>
          <w:kern w:val="0"/>
        </w:rPr>
        <w:t>.2.</w:t>
      </w:r>
      <w:r>
        <w:rPr>
          <w:rFonts w:eastAsiaTheme="minorHAnsi"/>
          <w:b w:val="0"/>
          <w:bCs w:val="0"/>
          <w:color w:val="auto"/>
          <w:spacing w:val="0"/>
          <w:kern w:val="0"/>
        </w:rPr>
        <w:t xml:space="preserve">  </w:t>
      </w:r>
      <w:r>
        <w:rPr>
          <w:rFonts w:eastAsiaTheme="minorHAnsi"/>
          <w:bCs w:val="0"/>
          <w:color w:val="auto"/>
          <w:spacing w:val="0"/>
          <w:kern w:val="0"/>
        </w:rPr>
        <w:t>Срок исполнения отдельных этапов</w:t>
      </w:r>
    </w:p>
    <w:p>
      <w:pPr>
        <w:rPr>
          <w:sz w:val="18"/>
          <w:szCs w:val="18"/>
        </w:rPr>
      </w:pPr>
    </w:p>
    <w:p>
      <w:pPr>
        <w:rPr>
          <w:sz w:val="18"/>
          <w:szCs w:val="18"/>
        </w:rPr>
      </w:pPr>
    </w:p>
    <w:p>
      <w:pPr>
        <w:rPr>
          <w:sz w:val="18"/>
          <w:szCs w:val="18"/>
        </w:rPr>
      </w:pPr>
      <w:r>
        <w:rPr>
          <w:rFonts w:eastAsia="Calibri"/>
          <w:iCs/>
          <w:kern w:val="1"/>
        </w:rPr>
        <w:t xml:space="preserve">Отдельные этапы исполнения </w:t>
      </w:r>
      <w:r>
        <w:t>договора</w:t>
      </w:r>
      <w:r>
        <w:rPr>
          <w:rFonts w:eastAsia="Calibri"/>
          <w:iCs/>
          <w:kern w:val="1"/>
        </w:rPr>
        <w:t xml:space="preserve"> не предусмотрены</w:t>
      </w:r>
    </w:p>
    <w:p>
      <w:pPr>
        <w:suppressAutoHyphens w:val="0"/>
        <w:ind w:firstLine="0"/>
        <w:rPr>
          <w:sz w:val="18"/>
          <w:szCs w:val="18"/>
        </w:rPr>
      </w:pPr>
      <w:r>
        <w:rPr>
          <w:sz w:val="18"/>
          <w:szCs w:val="18"/>
        </w:rPr>
        <w:br w:type="page"/>
      </w:r>
    </w:p>
    <w:p>
      <w:pPr>
        <w:jc w:val="both"/>
        <w:rPr>
          <w:sz w:val="18"/>
          <w:szCs w:val="18"/>
        </w:rPr>
      </w:pPr>
    </w:p>
    <w:p>
      <w:pPr>
        <w:pageBreakBefore/>
        <w:jc w:val="right"/>
      </w:pPr>
      <w:r>
        <w:t>Приложение 3 к договору</w:t>
      </w:r>
    </w:p>
    <w:p>
      <w:pPr>
        <w:spacing w:before="180"/>
        <w:ind w:firstLine="562"/>
        <w:jc w:val="right"/>
      </w:pPr>
      <w:r>
        <w:t>от «____» ___________ 20___г. № ___________</w:t>
      </w:r>
    </w:p>
    <w:p>
      <w:pPr>
        <w:jc w:val="right"/>
      </w:pPr>
    </w:p>
    <w:p>
      <w:pPr>
        <w:pStyle w:val="2"/>
      </w:pPr>
      <w:r>
        <w:t>Перечень электронных документов, которыми обмениваются стороны при исполнении договора</w:t>
      </w:r>
    </w:p>
    <w:p>
      <w:pPr>
        <w:pStyle w:val="4"/>
        <w:numPr>
          <w:ilvl w:val="0"/>
          <w:numId w:val="8"/>
        </w:numPr>
      </w:pPr>
      <w:r>
        <w:t>Оформление при исполнении обязательств</w:t>
      </w:r>
    </w:p>
    <w:p>
      <w:pPr>
        <w:pStyle w:val="112"/>
        <w:spacing w:after="60"/>
        <w:rPr>
          <w:i/>
        </w:rPr>
      </w:pPr>
      <w:r>
        <w:t>Таблица 3.1</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278"/>
        <w:gridCol w:w="3562"/>
        <w:gridCol w:w="2708"/>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Обязательство по договору</w:t>
            </w:r>
          </w:p>
        </w:tc>
        <w:tc>
          <w:tcPr>
            <w:tcW w:w="3261"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Ответственная сторона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Выполнение услуги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lang w:val="en-US"/>
              </w:rPr>
            </w:pPr>
            <w:r>
              <w:rPr>
                <w:sz w:val="18"/>
                <w:szCs w:val="18"/>
                <w:lang w:val="en-US"/>
              </w:rPr>
              <w:t>Акт о приёмке выполненных работ</w:t>
            </w:r>
          </w:p>
        </w:tc>
        <w:tc>
          <w:tcPr>
            <w:tcW w:w="3543"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Исполнитель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3261" w:type="dxa"/>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Заказчик</w:t>
            </w:r>
          </w:p>
        </w:tc>
      </w:tr>
    </w:tbl>
    <w:p/>
    <w:p>
      <w:pPr>
        <w:rPr>
          <w:lang w:val="en-US"/>
        </w:rPr>
      </w:pPr>
    </w:p>
    <w:p>
      <w:pPr>
        <w:pStyle w:val="4"/>
        <w:numPr>
          <w:ilvl w:val="0"/>
          <w:numId w:val="8"/>
        </w:numPr>
        <w:ind w:left="357" w:hanging="357"/>
      </w:pPr>
      <w:r>
        <w:t>Порядок и сроки проведения экспертизы</w:t>
      </w:r>
    </w:p>
    <w:p>
      <w:pPr>
        <w:pStyle w:val="112"/>
        <w:spacing w:after="60"/>
        <w:rPr>
          <w:lang w:val="en-US"/>
        </w:rPr>
      </w:pPr>
      <w:r>
        <w:t>Таблица 3.</w:t>
      </w:r>
      <w:r>
        <w:rPr>
          <w:lang w:val="en-US"/>
        </w:rPr>
        <w:t>2</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3061"/>
        <w:gridCol w:w="4229"/>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Срок проведения экспертизы и оформления результатов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Выполнение услуги</w:t>
            </w:r>
          </w:p>
        </w:tc>
        <w:tc>
          <w:tcPr>
            <w:tcW w:w="10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Соответствует срокам приёмки</w:t>
            </w:r>
          </w:p>
          <w:p>
            <w:pPr>
              <w:pStyle w:val="110"/>
              <w:rPr>
                <w:sz w:val="18"/>
                <w:szCs w:val="18"/>
                <w:lang w:val="en-US"/>
              </w:rPr>
            </w:pPr>
          </w:p>
        </w:tc>
      </w:tr>
    </w:tbl>
    <w:p>
      <w:pPr>
        <w:rPr>
          <w:lang w:val="en-US"/>
        </w:rPr>
      </w:pPr>
    </w:p>
    <w:p>
      <w:pPr>
        <w:keepNext/>
      </w:pPr>
    </w:p>
    <w:p>
      <w:pPr>
        <w:jc w:val="right"/>
        <w:rPr>
          <w:lang w:val="en-US"/>
        </w:rPr>
      </w:pPr>
    </w:p>
    <w:p>
      <w:pPr>
        <w:pageBreakBefore/>
        <w:jc w:val="right"/>
      </w:pPr>
      <w:r>
        <w:t>Приложение 4 к договору</w:t>
      </w:r>
    </w:p>
    <w:p>
      <w:pPr>
        <w:spacing w:before="180"/>
        <w:ind w:firstLine="562"/>
        <w:jc w:val="right"/>
      </w:pPr>
      <w:r>
        <w:t>от «____» ___________ 20___г. № ___________</w:t>
      </w:r>
    </w:p>
    <w:p>
      <w:pPr>
        <w:pStyle w:val="2"/>
        <w:rPr>
          <w:b w:val="0"/>
        </w:rPr>
      </w:pPr>
      <w:r>
        <w:rPr>
          <w:b w:val="0"/>
        </w:rPr>
        <w:t>Регламент электронного документооборота</w:t>
      </w:r>
      <w:r>
        <w:rPr>
          <w:b w:val="0"/>
        </w:rPr>
        <w:br w:type="textWrapping"/>
      </w:r>
      <w:r>
        <w:rPr>
          <w:b w:val="0"/>
        </w:rPr>
        <w:t>Портала исполнения контрактов Единой автоматизированной системы управления закупками Московской области</w:t>
      </w:r>
    </w:p>
    <w:p>
      <w:pPr>
        <w:pStyle w:val="98"/>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pPr>
        <w:pStyle w:val="98"/>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pPr>
        <w:pStyle w:val="98"/>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pPr>
        <w:pStyle w:val="9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pPr>
        <w:pStyle w:val="9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pPr>
        <w:pStyle w:val="9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pPr>
        <w:pStyle w:val="98"/>
        <w:tabs>
          <w:tab w:val="left" w:pos="1134"/>
        </w:tabs>
        <w:ind w:left="0"/>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pPr>
        <w:pStyle w:val="9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pPr>
        <w:pStyle w:val="98"/>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pPr>
        <w:pStyle w:val="98"/>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pPr>
        <w:pStyle w:val="98"/>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pPr>
        <w:pStyle w:val="98"/>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pPr>
        <w:pStyle w:val="9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pPr>
        <w:pStyle w:val="9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pPr>
        <w:pStyle w:val="98"/>
        <w:tabs>
          <w:tab w:val="left" w:pos="1134"/>
        </w:tabs>
        <w:ind w:left="0"/>
        <w:jc w:val="both"/>
      </w:pPr>
      <w:r>
        <w:t>- наличие автоматизированного рабочего места (АРМ);</w:t>
      </w:r>
    </w:p>
    <w:p>
      <w:pPr>
        <w:pStyle w:val="9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pPr>
        <w:pStyle w:val="98"/>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r>
        <w:fldChar w:fldCharType="begin"/>
      </w:r>
      <w:r>
        <w:instrText xml:space="preserve"> HYPERLINK "http://pik.mosreg.ru" </w:instrText>
      </w:r>
      <w:r>
        <w:fldChar w:fldCharType="separate"/>
      </w:r>
      <w:r>
        <w:t>http://pik.mosreg.ru</w:t>
      </w:r>
      <w:r>
        <w:fldChar w:fldCharType="end"/>
      </w:r>
      <w:r>
        <w:t>);</w:t>
      </w:r>
    </w:p>
    <w:p>
      <w:pPr>
        <w:pStyle w:val="98"/>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pPr>
        <w:pStyle w:val="98"/>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pPr>
        <w:pStyle w:val="9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pPr>
        <w:pStyle w:val="98"/>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pPr>
        <w:pStyle w:val="98"/>
        <w:tabs>
          <w:tab w:val="left" w:pos="1134"/>
        </w:tabs>
        <w:ind w:left="0"/>
        <w:jc w:val="both"/>
      </w:pPr>
      <w:r>
        <w:t>3.1.</w:t>
      </w:r>
      <w:r>
        <w:tab/>
      </w:r>
      <w:r>
        <w:t>После осуществления регистрации в ЭДО ПИК ЕАСУЗ произвести регистрацию своей организации (индивидуального предпринимателя) в ПИК ЕАСУЗ.</w:t>
      </w:r>
    </w:p>
    <w:p>
      <w:pPr>
        <w:pStyle w:val="98"/>
        <w:tabs>
          <w:tab w:val="left" w:pos="1134"/>
        </w:tabs>
        <w:ind w:left="0"/>
        <w:jc w:val="both"/>
      </w:pPr>
      <w:r>
        <w:t>3.2.</w:t>
      </w:r>
      <w:r>
        <w:tab/>
      </w:r>
      <w:r>
        <w:t>Направлять при осуществлении электронного документооборота документы и сведения, предусмотренные условиями Договора.</w:t>
      </w:r>
    </w:p>
    <w:p>
      <w:pPr>
        <w:pStyle w:val="98"/>
        <w:tabs>
          <w:tab w:val="left" w:pos="1134"/>
        </w:tabs>
        <w:ind w:left="0"/>
        <w:jc w:val="both"/>
      </w:pPr>
      <w:r>
        <w:t>3.3.</w:t>
      </w:r>
      <w:r>
        <w:tab/>
      </w:r>
      <w:r>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pPr>
        <w:pStyle w:val="98"/>
        <w:tabs>
          <w:tab w:val="left" w:pos="1134"/>
        </w:tabs>
        <w:ind w:left="0"/>
        <w:jc w:val="both"/>
      </w:pPr>
      <w:r>
        <w:t>3.4.</w:t>
      </w:r>
      <w:r>
        <w:tab/>
      </w:r>
      <w:r>
        <w:t>Обеспечить режим хранения сертификата КЭП и закрытого ключа КЭП, исключающий неавторизованный доступ к ним третьих лиц.</w:t>
      </w:r>
    </w:p>
    <w:p>
      <w:pPr>
        <w:pStyle w:val="98"/>
        <w:tabs>
          <w:tab w:val="left" w:pos="1134"/>
        </w:tabs>
        <w:ind w:left="0"/>
        <w:jc w:val="both"/>
        <w:rPr>
          <w:lang w:eastAsia="en-US"/>
        </w:rPr>
      </w:pPr>
      <w:r>
        <w:t>4. Основными правилами организации электронного документооборота в ПИК ЕАСУЗ являются:</w:t>
      </w:r>
    </w:p>
    <w:p>
      <w:pPr>
        <w:pStyle w:val="98"/>
        <w:tabs>
          <w:tab w:val="left" w:pos="1134"/>
        </w:tabs>
        <w:ind w:left="0"/>
        <w:jc w:val="both"/>
      </w:pPr>
      <w:r>
        <w:t>4.1.</w:t>
      </w:r>
      <w:r>
        <w:tab/>
      </w:r>
      <w:r>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pPr>
        <w:pStyle w:val="98"/>
        <w:tabs>
          <w:tab w:val="left" w:pos="1134"/>
        </w:tabs>
        <w:ind w:left="0"/>
        <w:jc w:val="both"/>
      </w:pPr>
      <w:r>
        <w:t>4.2.</w:t>
      </w:r>
      <w:r>
        <w:tab/>
      </w:r>
      <w:r>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pPr>
        <w:pStyle w:val="98"/>
        <w:tabs>
          <w:tab w:val="left" w:pos="1134"/>
        </w:tabs>
        <w:ind w:left="0"/>
        <w:jc w:val="both"/>
      </w:pPr>
      <w:r>
        <w:t>4.3.</w:t>
      </w:r>
      <w:r>
        <w:tab/>
      </w:r>
      <w:r>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pPr>
        <w:pStyle w:val="98"/>
        <w:tabs>
          <w:tab w:val="left" w:pos="1134"/>
        </w:tabs>
        <w:ind w:left="0"/>
        <w:jc w:val="both"/>
      </w:pPr>
      <w:r>
        <w:t>4.4.</w:t>
      </w:r>
      <w:r>
        <w:tab/>
      </w:r>
      <w: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pPr>
        <w:pStyle w:val="9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pPr>
        <w:pStyle w:val="9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pPr>
        <w:pStyle w:val="98"/>
        <w:tabs>
          <w:tab w:val="left" w:pos="1134"/>
        </w:tabs>
        <w:ind w:left="0"/>
        <w:jc w:val="both"/>
      </w:pPr>
      <w:r>
        <w:t>4.6.</w:t>
      </w:r>
      <w:r>
        <w:tab/>
      </w:r>
      <w:r>
        <w:t xml:space="preserve">Через систему ЭДО ПИК ЕАСУЗ передаются следующие типы электронных документов: </w:t>
      </w:r>
    </w:p>
    <w:p>
      <w:pPr>
        <w:pStyle w:val="98"/>
        <w:tabs>
          <w:tab w:val="left" w:pos="1134"/>
        </w:tabs>
        <w:ind w:left="0"/>
        <w:jc w:val="both"/>
      </w:pPr>
      <w:r>
        <w:t>4.6.1.</w:t>
      </w:r>
      <w:r>
        <w:tab/>
      </w:r>
      <w: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pPr>
        <w:pStyle w:val="98"/>
        <w:tabs>
          <w:tab w:val="left" w:pos="1134"/>
        </w:tabs>
        <w:ind w:left="0"/>
        <w:jc w:val="both"/>
      </w:pPr>
      <w:r>
        <w:t>4.6.2.</w:t>
      </w:r>
      <w:r>
        <w:tab/>
      </w:r>
      <w: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pPr>
        <w:pStyle w:val="98"/>
        <w:tabs>
          <w:tab w:val="left" w:pos="1134"/>
        </w:tabs>
        <w:ind w:left="0"/>
        <w:jc w:val="both"/>
      </w:pPr>
      <w:r>
        <w:t>4.6.3.</w:t>
      </w:r>
      <w:r>
        <w:tab/>
      </w:r>
      <w:r>
        <w:t>Электронные документы, требования к форматам которых определены Федеральной налоговой службой.</w:t>
      </w:r>
    </w:p>
    <w:p>
      <w:pPr>
        <w:pStyle w:val="98"/>
        <w:tabs>
          <w:tab w:val="left" w:pos="1134"/>
        </w:tabs>
        <w:ind w:left="0"/>
        <w:jc w:val="both"/>
      </w:pPr>
      <w:r>
        <w:t>4.7.</w:t>
      </w:r>
      <w:r>
        <w:tab/>
      </w:r>
      <w:r>
        <w:t>Правила формирования для подписания структурированных электронных документов:</w:t>
      </w:r>
    </w:p>
    <w:p>
      <w:pPr>
        <w:pStyle w:val="98"/>
        <w:tabs>
          <w:tab w:val="left" w:pos="1134"/>
        </w:tabs>
        <w:ind w:left="0"/>
        <w:jc w:val="both"/>
      </w:pPr>
      <w:r>
        <w:t>4.7.1.</w:t>
      </w:r>
      <w:r>
        <w:tab/>
      </w:r>
      <w:r>
        <w:t>Структурированный электронный документ формируется Стороной Договора в ПИК ЕАСУЗ посредством:</w:t>
      </w:r>
    </w:p>
    <w:p>
      <w:pPr>
        <w:pStyle w:val="9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pPr>
        <w:pStyle w:val="9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pPr>
        <w:pStyle w:val="98"/>
        <w:tabs>
          <w:tab w:val="left" w:pos="1134"/>
        </w:tabs>
        <w:ind w:left="0"/>
        <w:jc w:val="both"/>
      </w:pPr>
      <w:r>
        <w:t>4.7.1</w:t>
      </w:r>
      <w:r>
        <w:tab/>
      </w:r>
      <w:r>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pPr>
        <w:pStyle w:val="98"/>
        <w:tabs>
          <w:tab w:val="left" w:pos="1134"/>
        </w:tabs>
        <w:ind w:left="0"/>
        <w:jc w:val="both"/>
      </w:pPr>
      <w:r>
        <w:t>4.8.</w:t>
      </w:r>
      <w:r>
        <w:tab/>
      </w:r>
      <w:r>
        <w:t>Правила формирования для подписания неструктурированных электронных документов:</w:t>
      </w:r>
    </w:p>
    <w:p>
      <w:pPr>
        <w:pStyle w:val="9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pPr>
        <w:pStyle w:val="9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pPr>
        <w:pStyle w:val="98"/>
        <w:tabs>
          <w:tab w:val="left" w:pos="1134"/>
        </w:tabs>
        <w:ind w:left="0"/>
        <w:jc w:val="both"/>
      </w:pPr>
      <w:r>
        <w:t>4.9. Правила передачи файлов:</w:t>
      </w:r>
    </w:p>
    <w:p>
      <w:pPr>
        <w:pStyle w:val="98"/>
        <w:tabs>
          <w:tab w:val="left" w:pos="1134"/>
        </w:tabs>
        <w:ind w:left="0"/>
        <w:jc w:val="both"/>
      </w:pPr>
      <w:r>
        <w:t>4.9.1.</w:t>
      </w:r>
      <w:r>
        <w:tab/>
      </w:r>
      <w:r>
        <w:t xml:space="preserve">В случае передачи неструктурированного файла Сторона Договора самостоятельно несет ответственность за содержание такого документа. </w:t>
      </w:r>
    </w:p>
    <w:p>
      <w:pPr>
        <w:pStyle w:val="98"/>
        <w:tabs>
          <w:tab w:val="left" w:pos="1134"/>
        </w:tabs>
        <w:ind w:left="0"/>
        <w:jc w:val="both"/>
      </w:pPr>
      <w:r>
        <w:t>4.9.2.</w:t>
      </w:r>
      <w:r>
        <w:tab/>
      </w:r>
      <w:r>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pPr>
        <w:pStyle w:val="98"/>
        <w:tabs>
          <w:tab w:val="left" w:pos="1134"/>
        </w:tabs>
        <w:ind w:left="0"/>
        <w:jc w:val="both"/>
      </w:pPr>
      <w:r>
        <w:t>4.9.3.</w:t>
      </w:r>
      <w:r>
        <w:tab/>
      </w:r>
      <w:r>
        <w:t>Направляемые файлы между Сторонами Договора должны быть подписаны КЭП с помощью интерфейса ЭДО ПИК ЕАСУЗ.</w:t>
      </w:r>
    </w:p>
    <w:p>
      <w:pPr>
        <w:pStyle w:val="98"/>
        <w:tabs>
          <w:tab w:val="left" w:pos="1134"/>
        </w:tabs>
        <w:ind w:left="0"/>
        <w:jc w:val="both"/>
      </w:pPr>
      <w:r>
        <w:t>4.10.</w:t>
      </w:r>
      <w:r>
        <w:tab/>
      </w:r>
      <w:r>
        <w:t xml:space="preserve"> Правила передачи электронных документов, требования к форматам которых определены Федеральной налоговой службой:</w:t>
      </w:r>
    </w:p>
    <w:p>
      <w:pPr>
        <w:pStyle w:val="98"/>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pPr>
        <w:pStyle w:val="9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pPr>
        <w:pStyle w:val="9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pPr>
        <w:pStyle w:val="9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pPr>
        <w:pStyle w:val="9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pPr>
        <w:pStyle w:val="9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pPr>
        <w:pStyle w:val="98"/>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pPr>
        <w:pStyle w:val="9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pPr>
        <w:pStyle w:val="98"/>
        <w:tabs>
          <w:tab w:val="left" w:pos="1134"/>
        </w:tabs>
        <w:ind w:left="0"/>
        <w:jc w:val="both"/>
      </w:pPr>
      <w:r>
        <w:t>а) сбой в работе возник в период с 07 00 до 21 00 московского времени в рабочие дни;</w:t>
      </w:r>
    </w:p>
    <w:p>
      <w:pPr>
        <w:pStyle w:val="98"/>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pPr>
        <w:pStyle w:val="98"/>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pPr>
        <w:pStyle w:val="9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pPr>
        <w:pStyle w:val="98"/>
        <w:tabs>
          <w:tab w:val="left" w:pos="1134"/>
        </w:tabs>
        <w:ind w:left="0"/>
        <w:jc w:val="both"/>
      </w:pPr>
      <w:r>
        <w:t>- если заявка подана в рабочий день до 09 00, то ее рассмотрение начинается в этот рабочий день с 09 00;</w:t>
      </w:r>
    </w:p>
    <w:p>
      <w:pPr>
        <w:pStyle w:val="98"/>
        <w:tabs>
          <w:tab w:val="left" w:pos="1134"/>
        </w:tabs>
        <w:ind w:left="0"/>
        <w:jc w:val="both"/>
      </w:pPr>
      <w:r>
        <w:t>- если заявка подана в рабочий день после 18 00, то ее рассмотрение начинается с 09 00 следующего рабочего дня;</w:t>
      </w:r>
    </w:p>
    <w:p>
      <w:pPr>
        <w:pStyle w:val="9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pPr>
        <w:pStyle w:val="98"/>
        <w:tabs>
          <w:tab w:val="left" w:pos="1134"/>
        </w:tabs>
        <w:ind w:left="0"/>
        <w:jc w:val="both"/>
      </w:pPr>
    </w:p>
    <w:p>
      <w:pPr>
        <w:pStyle w:val="98"/>
        <w:keepNext/>
        <w:tabs>
          <w:tab w:val="left" w:pos="1134"/>
        </w:tabs>
        <w:ind w:left="0"/>
        <w:jc w:val="center"/>
      </w:pPr>
      <w:r>
        <w:t>Перечень сбоев в работе ПИК ЕАСУЗ и (или) ЭДО ПИК ЕАСУЗ</w:t>
      </w:r>
    </w:p>
    <w:p>
      <w:pPr>
        <w:pStyle w:val="112"/>
        <w:spacing w:after="60"/>
      </w:pPr>
      <w:r>
        <w:t xml:space="preserve">Таблица </w:t>
      </w:r>
      <w:r>
        <w:fldChar w:fldCharType="begin"/>
      </w:r>
      <w:r>
        <w:instrText xml:space="preserve"> SEQ Таблица \* ARABIC </w:instrText>
      </w:r>
      <w:r>
        <w:fldChar w:fldCharType="separate"/>
      </w:r>
      <w:r>
        <w:t>4</w:t>
      </w:r>
      <w:r>
        <w:fldChar w:fldCharType="end"/>
      </w:r>
    </w:p>
    <w:tbl>
      <w:tblPr>
        <w:tblStyle w:val="1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19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Продолжительность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keepNext/>
              <w:spacing w:line="264" w:lineRule="auto"/>
              <w:ind w:right="864" w:firstLine="284"/>
              <w:jc w:val="center"/>
              <w:rPr>
                <w:sz w:val="18"/>
                <w:szCs w:val="18"/>
                <w:lang w:val="en-US"/>
              </w:rPr>
            </w:pPr>
            <w:r>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pPr>
              <w:keepNext/>
              <w:tabs>
                <w:tab w:val="left" w:pos="412"/>
              </w:tabs>
              <w:spacing w:line="264" w:lineRule="auto"/>
              <w:ind w:firstLine="65"/>
              <w:rPr>
                <w:sz w:val="18"/>
                <w:szCs w:val="18"/>
              </w:rPr>
            </w:pPr>
            <w:r>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tcBorders>
              <w:top w:val="single" w:color="auto" w:sz="4" w:space="0"/>
              <w:left w:val="single" w:color="auto" w:sz="4" w:space="0"/>
              <w:bottom w:val="single" w:color="auto" w:sz="4" w:space="0"/>
              <w:right w:val="single" w:color="auto" w:sz="4" w:space="0"/>
            </w:tcBorders>
            <w:vAlign w:val="center"/>
          </w:tcPr>
          <w:p>
            <w:pPr>
              <w:keepNext/>
              <w:jc w:val="center"/>
              <w:rPr>
                <w:sz w:val="18"/>
                <w:szCs w:val="18"/>
                <w:lang w:val="en-US"/>
              </w:rPr>
            </w:pPr>
            <w:r>
              <w:rPr>
                <w:sz w:val="18"/>
                <w:szCs w:val="18"/>
                <w:lang w:val="en-US"/>
              </w:rPr>
              <w:t>240 мин.</w:t>
            </w:r>
          </w:p>
        </w:tc>
      </w:tr>
    </w:tbl>
    <w:p>
      <w:pPr>
        <w:keepNext/>
      </w:pPr>
    </w:p>
    <w:p>
      <w:pPr>
        <w:suppressAutoHyphens w:val="0"/>
        <w:ind w:firstLine="0"/>
      </w:pPr>
    </w:p>
    <w:sectPr>
      <w:footerReference r:id="rId4" w:type="first"/>
      <w:footerReference r:id="rId3" w:type="default"/>
      <w:pgSz w:w="16838" w:h="11906" w:orient="landscape"/>
      <w:pgMar w:top="567" w:right="1134" w:bottom="1418" w:left="1134" w:header="720" w:footer="720" w:gutter="0"/>
      <w:cols w:space="720" w:num="1"/>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CC"/>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angal">
    <w:altName w:val="Segoe Print"/>
    <w:panose1 w:val="000004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swiss"/>
    <w:pitch w:val="default"/>
    <w:sig w:usb0="80000287" w:usb1="2ACF3C50" w:usb2="00000016" w:usb3="00000000" w:csb0="0004001F" w:csb1="00000000"/>
  </w:font>
  <w:font w:name="Courier New">
    <w:panose1 w:val="02070309020205020404"/>
    <w:charset w:val="CC"/>
    <w:family w:val="modern"/>
    <w:pitch w:val="default"/>
    <w:sig w:usb0="E0002EFF" w:usb1="C0007843" w:usb2="00000009" w:usb3="00000000" w:csb0="400001FF" w:csb1="FFFF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fldChar w:fldCharType="begin"/>
    </w:r>
    <w:r>
      <w:instrText xml:space="preserve">PAGE   \* MERGEFORMAT</w:instrText>
    </w:r>
    <w:r>
      <w:fldChar w:fldCharType="separate"/>
    </w:r>
    <w:r>
      <w:t>165</w:t>
    </w:r>
    <w:r>
      <w:fldChar w:fldCharType="end"/>
    </w:r>
    <w:r>
      <w:tab/>
    </w:r>
    <w:r>
      <w:tab/>
    </w:r>
    <w:r>
      <w:rPr>
        <w:shd w:val="clear" w:color="auto" w:fill="FFFFFF"/>
      </w:rPr>
      <w:t xml:space="preserve">Номер позиции плана закупок в </w:t>
    </w:r>
    <w:r>
      <w:t>ЕАСУЗ:076906-23</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fldChar w:fldCharType="begin"/>
    </w:r>
    <w:r>
      <w:instrText xml:space="preserve">PAGE   \* MERGEFORMAT</w:instrText>
    </w:r>
    <w:r>
      <w:fldChar w:fldCharType="separate"/>
    </w:r>
    <w:r>
      <w:t>1</w:t>
    </w:r>
    <w:r>
      <w:fldChar w:fldCharType="end"/>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84"/>
      <w:lvlText w:val="%1."/>
      <w:lvlJc w:val="left"/>
      <w:pPr>
        <w:tabs>
          <w:tab w:val="left" w:pos="0"/>
        </w:tabs>
        <w:ind w:left="0" w:firstLine="709"/>
      </w:pPr>
    </w:lvl>
    <w:lvl w:ilvl="1" w:tentative="0">
      <w:start w:val="1"/>
      <w:numFmt w:val="decimal"/>
      <w:lvlText w:val="%1.%2."/>
      <w:lvlJc w:val="left"/>
      <w:pPr>
        <w:tabs>
          <w:tab w:val="left" w:pos="0"/>
        </w:tabs>
        <w:ind w:left="141" w:firstLine="709"/>
      </w:pPr>
      <w:rPr>
        <w:rFonts w:cs="Times New Roman"/>
      </w:rPr>
    </w:lvl>
    <w:lvl w:ilvl="2" w:tentative="0">
      <w:start w:val="1"/>
      <w:numFmt w:val="decimal"/>
      <w:lvlText w:val="%1.%2.%3."/>
      <w:lvlJc w:val="left"/>
      <w:pPr>
        <w:tabs>
          <w:tab w:val="left" w:pos="0"/>
        </w:tabs>
        <w:ind w:left="0" w:firstLine="709"/>
      </w:pPr>
      <w:rPr>
        <w:rFonts w:cs="Times New Roman"/>
      </w:rPr>
    </w:lvl>
    <w:lvl w:ilvl="3" w:tentative="0">
      <w:start w:val="1"/>
      <w:numFmt w:val="decimal"/>
      <w:lvlText w:val="%1.%2.%3.%4."/>
      <w:lvlJc w:val="left"/>
      <w:pPr>
        <w:tabs>
          <w:tab w:val="left" w:pos="0"/>
        </w:tabs>
        <w:ind w:left="0" w:firstLine="709"/>
      </w:pPr>
      <w:rPr>
        <w:rFonts w:cs="Times New Roman"/>
      </w:r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7502C4E"/>
    <w:multiLevelType w:val="multilevel"/>
    <w:tmpl w:val="07502C4E"/>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2DA1412B"/>
    <w:multiLevelType w:val="multilevel"/>
    <w:tmpl w:val="2DA141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BC684D"/>
    <w:multiLevelType w:val="multilevel"/>
    <w:tmpl w:val="30BC684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3221679D"/>
    <w:multiLevelType w:val="multilevel"/>
    <w:tmpl w:val="3221679D"/>
    <w:lvl w:ilvl="0" w:tentative="0">
      <w:start w:val="1"/>
      <w:numFmt w:val="decimal"/>
      <w:lvlText w:val="%1."/>
      <w:lvlJc w:val="left"/>
      <w:pPr>
        <w:ind w:left="1335" w:hanging="705"/>
      </w:pPr>
      <w:rPr>
        <w:rFonts w:hint="default"/>
      </w:rPr>
    </w:lvl>
    <w:lvl w:ilvl="1" w:tentative="0">
      <w:start w:val="1"/>
      <w:numFmt w:val="decimal"/>
      <w:lvlText w:val="%1.%2."/>
      <w:lvlJc w:val="left"/>
      <w:pPr>
        <w:ind w:left="9225" w:hanging="720"/>
      </w:pPr>
      <w:rPr>
        <w:rFonts w:hint="default"/>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66811E72"/>
    <w:multiLevelType w:val="multilevel"/>
    <w:tmpl w:val="66811E72"/>
    <w:lvl w:ilvl="0" w:tentative="0">
      <w:start w:val="1"/>
      <w:numFmt w:val="decimal"/>
      <w:lvlText w:val="%1."/>
      <w:lvlJc w:val="left"/>
      <w:pPr>
        <w:ind w:left="927" w:hanging="360"/>
      </w:pPr>
      <w:rPr>
        <w:rFonts w:hint="default"/>
      </w:rPr>
    </w:lvl>
    <w:lvl w:ilvl="1" w:tentative="0">
      <w:start w:val="1"/>
      <w:numFmt w:val="decimal"/>
      <w:isLgl/>
      <w:lvlText w:val="%1.%2."/>
      <w:lvlJc w:val="left"/>
      <w:pPr>
        <w:ind w:left="357" w:hanging="300"/>
      </w:pPr>
      <w:rPr>
        <w:rFonts w:hint="default"/>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287" w:hanging="720"/>
      </w:pPr>
      <w:rPr>
        <w:rFonts w:hint="default"/>
      </w:rPr>
    </w:lvl>
    <w:lvl w:ilvl="4" w:tentative="0">
      <w:start w:val="1"/>
      <w:numFmt w:val="decimal"/>
      <w:isLgl/>
      <w:lvlText w:val="%1.%2.%3.%4.%5."/>
      <w:lvlJc w:val="left"/>
      <w:pPr>
        <w:ind w:left="1647" w:hanging="1080"/>
      </w:pPr>
      <w:rPr>
        <w:rFonts w:hint="default"/>
      </w:rPr>
    </w:lvl>
    <w:lvl w:ilvl="5" w:tentative="0">
      <w:start w:val="1"/>
      <w:numFmt w:val="decimal"/>
      <w:isLgl/>
      <w:lvlText w:val="%1.%2.%3.%4.%5.%6."/>
      <w:lvlJc w:val="left"/>
      <w:pPr>
        <w:ind w:left="1647" w:hanging="1080"/>
      </w:pPr>
      <w:rPr>
        <w:rFonts w:hint="default"/>
      </w:rPr>
    </w:lvl>
    <w:lvl w:ilvl="6" w:tentative="0">
      <w:start w:val="1"/>
      <w:numFmt w:val="decimal"/>
      <w:isLgl/>
      <w:lvlText w:val="%1.%2.%3.%4.%5.%6.%7."/>
      <w:lvlJc w:val="left"/>
      <w:pPr>
        <w:ind w:left="2007" w:hanging="1440"/>
      </w:pPr>
      <w:rPr>
        <w:rFonts w:hint="default"/>
      </w:rPr>
    </w:lvl>
    <w:lvl w:ilvl="7" w:tentative="0">
      <w:start w:val="1"/>
      <w:numFmt w:val="decimal"/>
      <w:isLgl/>
      <w:lvlText w:val="%1.%2.%3.%4.%5.%6.%7.%8."/>
      <w:lvlJc w:val="left"/>
      <w:pPr>
        <w:ind w:left="2007" w:hanging="1440"/>
      </w:pPr>
      <w:rPr>
        <w:rFonts w:hint="default"/>
      </w:rPr>
    </w:lvl>
    <w:lvl w:ilvl="8" w:tentative="0">
      <w:start w:val="1"/>
      <w:numFmt w:val="decimal"/>
      <w:isLgl/>
      <w:lvlText w:val="%1.%2.%3.%4.%5.%6.%7.%8.%9."/>
      <w:lvlJc w:val="left"/>
      <w:pPr>
        <w:ind w:left="2367" w:hanging="1800"/>
      </w:pPr>
      <w:rPr>
        <w:rFonts w:hint="default"/>
      </w:rPr>
    </w:lvl>
  </w:abstractNum>
  <w:abstractNum w:abstractNumId="6">
    <w:nsid w:val="6D7B5F27"/>
    <w:multiLevelType w:val="multilevel"/>
    <w:tmpl w:val="6D7B5F27"/>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74662C9D"/>
    <w:multiLevelType w:val="multilevel"/>
    <w:tmpl w:val="74662C9D"/>
    <w:lvl w:ilvl="0" w:tentative="0">
      <w:start w:val="1"/>
      <w:numFmt w:val="decimal"/>
      <w:lvlText w:val="%1."/>
      <w:lvlJc w:val="left"/>
      <w:pPr>
        <w:ind w:left="927" w:hanging="360"/>
      </w:pPr>
      <w:rPr>
        <w:rFonts w:hint="default"/>
      </w:rPr>
    </w:lvl>
    <w:lvl w:ilvl="1" w:tentative="0">
      <w:start w:val="2"/>
      <w:numFmt w:val="decimal"/>
      <w:isLgl/>
      <w:lvlText w:val="%1.%2."/>
      <w:lvlJc w:val="left"/>
      <w:pPr>
        <w:ind w:left="927" w:hanging="360"/>
      </w:pPr>
      <w:rPr>
        <w:rFonts w:hint="default"/>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287" w:hanging="720"/>
      </w:pPr>
      <w:rPr>
        <w:rFonts w:hint="default"/>
      </w:rPr>
    </w:lvl>
    <w:lvl w:ilvl="4" w:tentative="0">
      <w:start w:val="1"/>
      <w:numFmt w:val="decimal"/>
      <w:isLgl/>
      <w:lvlText w:val="%1.%2.%3.%4.%5."/>
      <w:lvlJc w:val="left"/>
      <w:pPr>
        <w:ind w:left="1647" w:hanging="1080"/>
      </w:pPr>
      <w:rPr>
        <w:rFonts w:hint="default"/>
      </w:rPr>
    </w:lvl>
    <w:lvl w:ilvl="5" w:tentative="0">
      <w:start w:val="1"/>
      <w:numFmt w:val="decimal"/>
      <w:isLgl/>
      <w:lvlText w:val="%1.%2.%3.%4.%5.%6."/>
      <w:lvlJc w:val="left"/>
      <w:pPr>
        <w:ind w:left="1647" w:hanging="1080"/>
      </w:pPr>
      <w:rPr>
        <w:rFonts w:hint="default"/>
      </w:rPr>
    </w:lvl>
    <w:lvl w:ilvl="6" w:tentative="0">
      <w:start w:val="1"/>
      <w:numFmt w:val="decimal"/>
      <w:isLgl/>
      <w:lvlText w:val="%1.%2.%3.%4.%5.%6.%7."/>
      <w:lvlJc w:val="left"/>
      <w:pPr>
        <w:ind w:left="2007" w:hanging="1440"/>
      </w:pPr>
      <w:rPr>
        <w:rFonts w:hint="default"/>
      </w:rPr>
    </w:lvl>
    <w:lvl w:ilvl="7" w:tentative="0">
      <w:start w:val="1"/>
      <w:numFmt w:val="decimal"/>
      <w:isLgl/>
      <w:lvlText w:val="%1.%2.%3.%4.%5.%6.%7.%8."/>
      <w:lvlJc w:val="left"/>
      <w:pPr>
        <w:ind w:left="2007" w:hanging="1440"/>
      </w:pPr>
      <w:rPr>
        <w:rFonts w:hint="default"/>
      </w:rPr>
    </w:lvl>
    <w:lvl w:ilvl="8" w:tentative="0">
      <w:start w:val="1"/>
      <w:numFmt w:val="decimal"/>
      <w:isLgl/>
      <w:lvlText w:val="%1.%2.%3.%4.%5.%6.%7.%8.%9."/>
      <w:lvlJc w:val="left"/>
      <w:pPr>
        <w:ind w:left="2367" w:hanging="1800"/>
      </w:pPr>
      <w:rPr>
        <w:rFonts w:hint="default"/>
      </w:rPr>
    </w:lvl>
  </w:abstractNum>
  <w:abstractNum w:abstractNumId="8">
    <w:nsid w:val="7CB45EDE"/>
    <w:multiLevelType w:val="multilevel"/>
    <w:tmpl w:val="7CB45ED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autoHyphenation/>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13258C"/>
    <w:rsid w:val="001B3C58"/>
    <w:rsid w:val="00236A95"/>
    <w:rsid w:val="002508EC"/>
    <w:rsid w:val="002A1C82"/>
    <w:rsid w:val="00445029"/>
    <w:rsid w:val="00513E70"/>
    <w:rsid w:val="005F09C9"/>
    <w:rsid w:val="006B0E88"/>
    <w:rsid w:val="006D4649"/>
    <w:rsid w:val="00711053"/>
    <w:rsid w:val="00797E13"/>
    <w:rsid w:val="007E47E3"/>
    <w:rsid w:val="008350DE"/>
    <w:rsid w:val="00881996"/>
    <w:rsid w:val="008948CE"/>
    <w:rsid w:val="0091141B"/>
    <w:rsid w:val="00945915"/>
    <w:rsid w:val="00966ACE"/>
    <w:rsid w:val="00973C56"/>
    <w:rsid w:val="00AC663B"/>
    <w:rsid w:val="00AF5313"/>
    <w:rsid w:val="00AF741D"/>
    <w:rsid w:val="00B03768"/>
    <w:rsid w:val="00B158CA"/>
    <w:rsid w:val="00B40643"/>
    <w:rsid w:val="00BF6AE3"/>
    <w:rsid w:val="00BF76D6"/>
    <w:rsid w:val="00BF780B"/>
    <w:rsid w:val="00C416A9"/>
    <w:rsid w:val="00CA5D95"/>
    <w:rsid w:val="00D3441D"/>
    <w:rsid w:val="00D47FDD"/>
    <w:rsid w:val="00DA1ECB"/>
    <w:rsid w:val="00E07FA2"/>
    <w:rsid w:val="00E33F34"/>
    <w:rsid w:val="00E60158"/>
    <w:rsid w:val="00EF12B7"/>
    <w:rsid w:val="00FD1205"/>
    <w:rsid w:val="5BD3107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nhideWhenUsed="0" w:uiPriority="0" w:semiHidden="0"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99" w:name="Placeholder Text"/>
    <w:lsdException w:qFormat="1" w:unhideWhenUsed="0" w:uiPriority="34" w:semiHidden="0" w:name="List Paragraph"/>
  </w:latentStyles>
  <w:style w:type="paragraph" w:default="1" w:styleId="1">
    <w:name w:val="Normal"/>
    <w:qFormat/>
    <w:uiPriority w:val="0"/>
    <w:pPr>
      <w:suppressAutoHyphens/>
      <w:ind w:firstLine="567"/>
    </w:pPr>
    <w:rPr>
      <w:rFonts w:ascii="Times New Roman" w:hAnsi="Times New Roman" w:cs="Times New Roman" w:eastAsiaTheme="minorHAnsi"/>
      <w:sz w:val="24"/>
      <w:szCs w:val="24"/>
      <w:lang w:val="ru-RU" w:eastAsia="ar-SA" w:bidi="ar-SA"/>
    </w:rPr>
  </w:style>
  <w:style w:type="paragraph" w:styleId="2">
    <w:name w:val="heading 1"/>
    <w:basedOn w:val="3"/>
    <w:next w:val="1"/>
    <w:link w:val="100"/>
    <w:qFormat/>
    <w:uiPriority w:val="9"/>
    <w:pPr>
      <w:keepNext/>
      <w:spacing w:before="200" w:after="200"/>
      <w:jc w:val="center"/>
      <w:outlineLvl w:val="0"/>
    </w:pPr>
    <w:rPr>
      <w:rFonts w:ascii="Times New Roman" w:hAnsi="Times New Roman" w:eastAsia="Times New Roman" w:cs="Times New Roman"/>
      <w:b/>
      <w:bCs/>
      <w:color w:val="00000A"/>
      <w:spacing w:val="-4"/>
      <w:sz w:val="24"/>
      <w:szCs w:val="24"/>
    </w:rPr>
  </w:style>
  <w:style w:type="paragraph" w:styleId="4">
    <w:name w:val="heading 2"/>
    <w:basedOn w:val="2"/>
    <w:next w:val="1"/>
    <w:link w:val="101"/>
    <w:unhideWhenUsed/>
    <w:qFormat/>
    <w:uiPriority w:val="9"/>
    <w:pPr>
      <w:outlineLvl w:val="1"/>
    </w:pPr>
  </w:style>
  <w:style w:type="paragraph" w:styleId="5">
    <w:name w:val="heading 3"/>
    <w:basedOn w:val="1"/>
    <w:next w:val="1"/>
    <w:qFormat/>
    <w:uiPriority w:val="0"/>
    <w:pPr>
      <w:keepNext/>
      <w:numPr>
        <w:ilvl w:val="2"/>
        <w:numId w:val="1"/>
      </w:numPr>
      <w:spacing w:before="240" w:after="60"/>
      <w:outlineLvl w:val="2"/>
    </w:pPr>
    <w:rPr>
      <w:rFonts w:ascii="Arial" w:hAnsi="Arial" w:eastAsia="Arial Unicode MS" w:cs="Arial"/>
      <w:b/>
      <w:bCs/>
      <w:sz w:val="26"/>
      <w:szCs w:val="26"/>
    </w:rPr>
  </w:style>
  <w:style w:type="paragraph" w:styleId="6">
    <w:name w:val="heading 4"/>
    <w:basedOn w:val="1"/>
    <w:next w:val="1"/>
    <w:link w:val="102"/>
    <w:semiHidden/>
    <w:unhideWhenUsed/>
    <w:qFormat/>
    <w:uiPriority w:val="9"/>
    <w:pPr>
      <w:keepNext/>
      <w:keepLines/>
      <w:numPr>
        <w:ilvl w:val="3"/>
        <w:numId w:val="1"/>
      </w:numPr>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7">
    <w:name w:val="heading 5"/>
    <w:basedOn w:val="1"/>
    <w:next w:val="1"/>
    <w:link w:val="103"/>
    <w:semiHidden/>
    <w:unhideWhenUsed/>
    <w:qFormat/>
    <w:uiPriority w:val="9"/>
    <w:pPr>
      <w:keepNext/>
      <w:keepLines/>
      <w:numPr>
        <w:ilvl w:val="4"/>
        <w:numId w:val="1"/>
      </w:numPr>
      <w:spacing w:before="200"/>
      <w:outlineLvl w:val="4"/>
    </w:pPr>
    <w:rPr>
      <w:rFonts w:asciiTheme="majorHAnsi" w:hAnsiTheme="majorHAnsi" w:eastAsiaTheme="majorEastAsia" w:cstheme="majorBidi"/>
      <w:color w:val="1F4E79" w:themeColor="accent1" w:themeShade="80"/>
    </w:rPr>
  </w:style>
  <w:style w:type="paragraph" w:styleId="8">
    <w:name w:val="heading 6"/>
    <w:basedOn w:val="1"/>
    <w:next w:val="1"/>
    <w:link w:val="104"/>
    <w:semiHidden/>
    <w:unhideWhenUsed/>
    <w:qFormat/>
    <w:uiPriority w:val="9"/>
    <w:pPr>
      <w:keepNext/>
      <w:keepLines/>
      <w:numPr>
        <w:ilvl w:val="5"/>
        <w:numId w:val="1"/>
      </w:numPr>
      <w:spacing w:before="200"/>
      <w:outlineLvl w:val="5"/>
    </w:pPr>
    <w:rPr>
      <w:rFonts w:asciiTheme="majorHAnsi" w:hAnsiTheme="majorHAnsi" w:eastAsiaTheme="majorEastAsia" w:cstheme="majorBidi"/>
      <w:i/>
      <w:iCs/>
      <w:color w:val="1F4E79" w:themeColor="accent1" w:themeShade="80"/>
    </w:rPr>
  </w:style>
  <w:style w:type="paragraph" w:styleId="9">
    <w:name w:val="heading 7"/>
    <w:basedOn w:val="1"/>
    <w:next w:val="1"/>
    <w:link w:val="105"/>
    <w:semiHidden/>
    <w:unhideWhenUsed/>
    <w:qFormat/>
    <w:uiPriority w:val="9"/>
    <w:pPr>
      <w:keepNext/>
      <w:keepLines/>
      <w:numPr>
        <w:ilvl w:val="6"/>
        <w:numId w:val="1"/>
      </w:numPr>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06"/>
    <w:semiHidden/>
    <w:unhideWhenUsed/>
    <w:qFormat/>
    <w:uiPriority w:val="9"/>
    <w:pPr>
      <w:keepNext/>
      <w:keepLines/>
      <w:numPr>
        <w:ilvl w:val="7"/>
        <w:numId w:val="1"/>
      </w:numPr>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1">
    <w:name w:val="heading 9"/>
    <w:basedOn w:val="1"/>
    <w:next w:val="1"/>
    <w:link w:val="107"/>
    <w:semiHidden/>
    <w:unhideWhenUsed/>
    <w:qFormat/>
    <w:uiPriority w:val="9"/>
    <w:pPr>
      <w:keepNext/>
      <w:keepLines/>
      <w:numPr>
        <w:ilvl w:val="8"/>
        <w:numId w:val="1"/>
      </w:numPr>
      <w:tabs>
        <w:tab w:val="left" w:pos="360"/>
      </w:tabs>
      <w:spacing w:before="200"/>
      <w:ind w:left="0" w:firstLine="567"/>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2">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3">
    <w:name w:val="Standard"/>
    <w:uiPriority w:val="0"/>
    <w:pPr>
      <w:widowControl w:val="0"/>
      <w:suppressAutoHyphens/>
      <w:textAlignment w:val="baseline"/>
    </w:pPr>
    <w:rPr>
      <w:rFonts w:ascii="Arial" w:hAnsi="Arial" w:eastAsia="Calibri" w:cs="Arial"/>
      <w:kern w:val="1"/>
      <w:sz w:val="18"/>
      <w:szCs w:val="18"/>
      <w:lang w:val="ru-RU" w:eastAsia="ar-SA" w:bidi="ar-SA"/>
    </w:rPr>
  </w:style>
  <w:style w:type="character" w:styleId="14">
    <w:name w:val="footnote reference"/>
    <w:uiPriority w:val="0"/>
    <w:rPr>
      <w:vertAlign w:val="superscript"/>
    </w:rPr>
  </w:style>
  <w:style w:type="character" w:styleId="15">
    <w:name w:val="annotation reference"/>
    <w:semiHidden/>
    <w:unhideWhenUsed/>
    <w:uiPriority w:val="99"/>
    <w:rPr>
      <w:sz w:val="16"/>
      <w:szCs w:val="16"/>
    </w:rPr>
  </w:style>
  <w:style w:type="character" w:styleId="16">
    <w:name w:val="endnote reference"/>
    <w:uiPriority w:val="0"/>
    <w:rPr>
      <w:vertAlign w:val="superscript"/>
    </w:rPr>
  </w:style>
  <w:style w:type="character" w:styleId="17">
    <w:name w:val="Hyperlink"/>
    <w:uiPriority w:val="0"/>
    <w:rPr>
      <w:color w:val="000080"/>
      <w:u w:val="single"/>
    </w:rPr>
  </w:style>
  <w:style w:type="paragraph" w:styleId="18">
    <w:name w:val="Balloon Text"/>
    <w:basedOn w:val="1"/>
    <w:uiPriority w:val="0"/>
    <w:rPr>
      <w:rFonts w:ascii="Tahoma" w:hAnsi="Tahoma" w:cs="Tahoma"/>
      <w:sz w:val="16"/>
      <w:szCs w:val="16"/>
    </w:rPr>
  </w:style>
  <w:style w:type="paragraph" w:styleId="19">
    <w:name w:val="caption"/>
    <w:basedOn w:val="1"/>
    <w:next w:val="1"/>
    <w:link w:val="113"/>
    <w:unhideWhenUsed/>
    <w:qFormat/>
    <w:uiPriority w:val="35"/>
    <w:pPr>
      <w:spacing w:after="200"/>
    </w:pPr>
    <w:rPr>
      <w:i/>
      <w:iCs/>
      <w:color w:val="44546A" w:themeColor="text2"/>
      <w:sz w:val="18"/>
      <w:szCs w:val="18"/>
      <w14:textFill>
        <w14:solidFill>
          <w14:schemeClr w14:val="tx2"/>
        </w14:solidFill>
      </w14:textFill>
    </w:rPr>
  </w:style>
  <w:style w:type="paragraph" w:styleId="20">
    <w:name w:val="annotation text"/>
    <w:basedOn w:val="1"/>
    <w:link w:val="95"/>
    <w:semiHidden/>
    <w:unhideWhenUsed/>
    <w:uiPriority w:val="99"/>
    <w:rPr>
      <w:sz w:val="20"/>
      <w:szCs w:val="20"/>
    </w:rPr>
  </w:style>
  <w:style w:type="paragraph" w:styleId="21">
    <w:name w:val="annotation subject"/>
    <w:basedOn w:val="20"/>
    <w:next w:val="20"/>
    <w:link w:val="96"/>
    <w:semiHidden/>
    <w:unhideWhenUsed/>
    <w:uiPriority w:val="99"/>
    <w:rPr>
      <w:b/>
      <w:bCs/>
    </w:rPr>
  </w:style>
  <w:style w:type="paragraph" w:styleId="22">
    <w:name w:val="Document Map"/>
    <w:basedOn w:val="1"/>
    <w:link w:val="99"/>
    <w:semiHidden/>
    <w:unhideWhenUsed/>
    <w:uiPriority w:val="99"/>
    <w:rPr>
      <w:rFonts w:ascii="Tahoma" w:hAnsi="Tahoma" w:cs="Tahoma"/>
      <w:sz w:val="16"/>
      <w:szCs w:val="16"/>
    </w:rPr>
  </w:style>
  <w:style w:type="paragraph" w:styleId="23">
    <w:name w:val="footnote text"/>
    <w:basedOn w:val="1"/>
    <w:uiPriority w:val="0"/>
    <w:rPr>
      <w:sz w:val="20"/>
      <w:szCs w:val="20"/>
    </w:rPr>
  </w:style>
  <w:style w:type="paragraph" w:styleId="24">
    <w:name w:val="header"/>
    <w:basedOn w:val="1"/>
    <w:uiPriority w:val="99"/>
    <w:pPr>
      <w:tabs>
        <w:tab w:val="center" w:pos="4677"/>
        <w:tab w:val="right" w:pos="9355"/>
      </w:tabs>
    </w:pPr>
  </w:style>
  <w:style w:type="paragraph" w:styleId="25">
    <w:name w:val="Body Text"/>
    <w:basedOn w:val="1"/>
    <w:uiPriority w:val="0"/>
    <w:pPr>
      <w:spacing w:after="120"/>
    </w:pPr>
  </w:style>
  <w:style w:type="paragraph" w:styleId="26">
    <w:name w:val="footer"/>
    <w:basedOn w:val="1"/>
    <w:uiPriority w:val="99"/>
    <w:pPr>
      <w:tabs>
        <w:tab w:val="center" w:pos="4677"/>
        <w:tab w:val="right" w:pos="9355"/>
      </w:tabs>
    </w:pPr>
  </w:style>
  <w:style w:type="paragraph" w:styleId="27">
    <w:name w:val="List"/>
    <w:basedOn w:val="25"/>
    <w:uiPriority w:val="0"/>
    <w:rPr>
      <w:rFonts w:cs="Mangal"/>
    </w:rPr>
  </w:style>
  <w:style w:type="paragraph" w:styleId="28">
    <w:name w:val="Normal (Web)"/>
    <w:basedOn w:val="1"/>
    <w:unhideWhenUsed/>
    <w:uiPriority w:val="99"/>
    <w:pPr>
      <w:suppressAutoHyphens w:val="0"/>
      <w:spacing w:before="100" w:beforeAutospacing="1" w:after="100" w:afterAutospacing="1"/>
      <w:ind w:firstLine="0"/>
    </w:pPr>
    <w:rPr>
      <w:color w:val="000000"/>
      <w:lang w:eastAsia="ru-RU"/>
    </w:rPr>
  </w:style>
  <w:style w:type="table" w:styleId="29">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WW8Num1z0"/>
    <w:uiPriority w:val="0"/>
  </w:style>
  <w:style w:type="character" w:customStyle="1" w:styleId="31">
    <w:name w:val="WW8Num1z1"/>
    <w:qFormat/>
    <w:uiPriority w:val="0"/>
    <w:rPr>
      <w:rFonts w:cs="Times New Roman"/>
    </w:rPr>
  </w:style>
  <w:style w:type="character" w:customStyle="1" w:styleId="32">
    <w:name w:val="WW8Num1z2"/>
    <w:uiPriority w:val="0"/>
  </w:style>
  <w:style w:type="character" w:customStyle="1" w:styleId="33">
    <w:name w:val="WW8Num1z3"/>
    <w:qFormat/>
    <w:uiPriority w:val="0"/>
  </w:style>
  <w:style w:type="character" w:customStyle="1" w:styleId="34">
    <w:name w:val="WW8Num1z4"/>
    <w:qFormat/>
    <w:uiPriority w:val="0"/>
  </w:style>
  <w:style w:type="character" w:customStyle="1" w:styleId="35">
    <w:name w:val="WW8Num1z5"/>
    <w:qFormat/>
    <w:uiPriority w:val="0"/>
  </w:style>
  <w:style w:type="character" w:customStyle="1" w:styleId="36">
    <w:name w:val="WW8Num1z6"/>
    <w:qFormat/>
    <w:uiPriority w:val="0"/>
  </w:style>
  <w:style w:type="character" w:customStyle="1" w:styleId="37">
    <w:name w:val="WW8Num1z7"/>
    <w:qFormat/>
    <w:uiPriority w:val="0"/>
  </w:style>
  <w:style w:type="character" w:customStyle="1" w:styleId="38">
    <w:name w:val="WW8Num1z8"/>
    <w:qFormat/>
    <w:uiPriority w:val="0"/>
  </w:style>
  <w:style w:type="character" w:customStyle="1" w:styleId="39">
    <w:name w:val="WW8Num2z0"/>
    <w:qFormat/>
    <w:uiPriority w:val="0"/>
  </w:style>
  <w:style w:type="character" w:customStyle="1" w:styleId="40">
    <w:name w:val="WW8Num2z1"/>
    <w:qFormat/>
    <w:uiPriority w:val="0"/>
    <w:rPr>
      <w:rFonts w:cs="Times New Roman"/>
    </w:rPr>
  </w:style>
  <w:style w:type="character" w:customStyle="1" w:styleId="41">
    <w:name w:val="WW8Num2z4"/>
    <w:qFormat/>
    <w:uiPriority w:val="0"/>
  </w:style>
  <w:style w:type="character" w:customStyle="1" w:styleId="42">
    <w:name w:val="WW8Num2z5"/>
    <w:uiPriority w:val="0"/>
  </w:style>
  <w:style w:type="character" w:customStyle="1" w:styleId="43">
    <w:name w:val="WW8Num2z6"/>
    <w:uiPriority w:val="0"/>
  </w:style>
  <w:style w:type="character" w:customStyle="1" w:styleId="44">
    <w:name w:val="WW8Num2z7"/>
    <w:qFormat/>
    <w:uiPriority w:val="0"/>
  </w:style>
  <w:style w:type="character" w:customStyle="1" w:styleId="45">
    <w:name w:val="WW8Num2z8"/>
    <w:qFormat/>
    <w:uiPriority w:val="0"/>
  </w:style>
  <w:style w:type="character" w:customStyle="1" w:styleId="46">
    <w:name w:val="WW8Num3z0"/>
    <w:qFormat/>
    <w:uiPriority w:val="0"/>
  </w:style>
  <w:style w:type="character" w:customStyle="1" w:styleId="47">
    <w:name w:val="WW8Num3z1"/>
    <w:qFormat/>
    <w:uiPriority w:val="0"/>
  </w:style>
  <w:style w:type="character" w:customStyle="1" w:styleId="48">
    <w:name w:val="WW8Num3z2"/>
    <w:qFormat/>
    <w:uiPriority w:val="0"/>
  </w:style>
  <w:style w:type="character" w:customStyle="1" w:styleId="49">
    <w:name w:val="WW8Num3z3"/>
    <w:qFormat/>
    <w:uiPriority w:val="0"/>
  </w:style>
  <w:style w:type="character" w:customStyle="1" w:styleId="50">
    <w:name w:val="WW8Num3z4"/>
    <w:qFormat/>
    <w:uiPriority w:val="0"/>
  </w:style>
  <w:style w:type="character" w:customStyle="1" w:styleId="51">
    <w:name w:val="WW8Num3z5"/>
    <w:qFormat/>
    <w:uiPriority w:val="0"/>
  </w:style>
  <w:style w:type="character" w:customStyle="1" w:styleId="52">
    <w:name w:val="WW8Num3z6"/>
    <w:qFormat/>
    <w:uiPriority w:val="0"/>
  </w:style>
  <w:style w:type="character" w:customStyle="1" w:styleId="53">
    <w:name w:val="WW8Num3z7"/>
    <w:qFormat/>
    <w:uiPriority w:val="0"/>
  </w:style>
  <w:style w:type="character" w:customStyle="1" w:styleId="54">
    <w:name w:val="WW8Num3z8"/>
    <w:uiPriority w:val="0"/>
  </w:style>
  <w:style w:type="character" w:customStyle="1" w:styleId="55">
    <w:name w:val="WW8Num4z0"/>
    <w:qFormat/>
    <w:uiPriority w:val="0"/>
  </w:style>
  <w:style w:type="character" w:customStyle="1" w:styleId="56">
    <w:name w:val="WW8Num4z1"/>
    <w:qFormat/>
    <w:uiPriority w:val="0"/>
  </w:style>
  <w:style w:type="character" w:customStyle="1" w:styleId="57">
    <w:name w:val="WW8Num4z2"/>
    <w:qFormat/>
    <w:uiPriority w:val="0"/>
    <w:rPr>
      <w:i/>
      <w:iCs/>
      <w:color w:val="000000"/>
      <w:sz w:val="28"/>
      <w:szCs w:val="28"/>
    </w:rPr>
  </w:style>
  <w:style w:type="character" w:customStyle="1" w:styleId="58">
    <w:name w:val="WW8Num4z3"/>
    <w:qFormat/>
    <w:uiPriority w:val="0"/>
  </w:style>
  <w:style w:type="character" w:customStyle="1" w:styleId="59">
    <w:name w:val="WW8Num4z4"/>
    <w:qFormat/>
    <w:uiPriority w:val="0"/>
  </w:style>
  <w:style w:type="character" w:customStyle="1" w:styleId="60">
    <w:name w:val="WW8Num4z5"/>
    <w:qFormat/>
    <w:uiPriority w:val="0"/>
  </w:style>
  <w:style w:type="character" w:customStyle="1" w:styleId="61">
    <w:name w:val="WW8Num4z6"/>
    <w:qFormat/>
    <w:uiPriority w:val="0"/>
  </w:style>
  <w:style w:type="character" w:customStyle="1" w:styleId="62">
    <w:name w:val="WW8Num4z7"/>
    <w:qFormat/>
    <w:uiPriority w:val="0"/>
  </w:style>
  <w:style w:type="character" w:customStyle="1" w:styleId="63">
    <w:name w:val="WW8Num4z8"/>
    <w:uiPriority w:val="0"/>
  </w:style>
  <w:style w:type="character" w:customStyle="1" w:styleId="64">
    <w:name w:val="Основной шрифт абзаца1"/>
    <w:qFormat/>
    <w:uiPriority w:val="0"/>
  </w:style>
  <w:style w:type="character" w:customStyle="1" w:styleId="65">
    <w:name w:val="Основной текст 3 Знак"/>
    <w:uiPriority w:val="0"/>
    <w:rPr>
      <w:sz w:val="24"/>
      <w:lang w:val="ru-RU" w:eastAsia="ar-SA" w:bidi="ar-SA"/>
    </w:rPr>
  </w:style>
  <w:style w:type="character" w:customStyle="1" w:styleId="66">
    <w:name w:val="Верхний колонтитул Знак"/>
    <w:uiPriority w:val="99"/>
    <w:rPr>
      <w:sz w:val="24"/>
      <w:szCs w:val="24"/>
    </w:rPr>
  </w:style>
  <w:style w:type="character" w:customStyle="1" w:styleId="67">
    <w:name w:val="Нижний колонтитул Знак"/>
    <w:uiPriority w:val="99"/>
    <w:rPr>
      <w:sz w:val="24"/>
      <w:szCs w:val="24"/>
    </w:rPr>
  </w:style>
  <w:style w:type="character" w:customStyle="1" w:styleId="68">
    <w:name w:val="Заголовок 3 Знак"/>
    <w:uiPriority w:val="0"/>
    <w:rPr>
      <w:rFonts w:ascii="Arial" w:hAnsi="Arial" w:eastAsia="Arial Unicode MS" w:cs="Arial"/>
      <w:b/>
      <w:bCs/>
      <w:sz w:val="26"/>
      <w:szCs w:val="26"/>
    </w:rPr>
  </w:style>
  <w:style w:type="character" w:customStyle="1" w:styleId="69">
    <w:name w:val="Текст сноски Знак"/>
    <w:basedOn w:val="64"/>
    <w:uiPriority w:val="0"/>
  </w:style>
  <w:style w:type="character" w:customStyle="1" w:styleId="70">
    <w:name w:val="Символ сноски"/>
    <w:uiPriority w:val="0"/>
    <w:rPr>
      <w:vertAlign w:val="superscript"/>
    </w:rPr>
  </w:style>
  <w:style w:type="character" w:customStyle="1" w:styleId="71">
    <w:name w:val="Символы концевой сноски"/>
    <w:uiPriority w:val="0"/>
    <w:rPr>
      <w:vertAlign w:val="superscript"/>
    </w:rPr>
  </w:style>
  <w:style w:type="character" w:customStyle="1" w:styleId="72">
    <w:name w:val="WW-Символы концевой сноски"/>
    <w:uiPriority w:val="0"/>
  </w:style>
  <w:style w:type="character" w:customStyle="1" w:styleId="73">
    <w:name w:val="Знак сноски1"/>
    <w:uiPriority w:val="0"/>
    <w:rPr>
      <w:rFonts w:cs="Times New Roman"/>
      <w:position w:val="11"/>
      <w:sz w:val="16"/>
    </w:rPr>
  </w:style>
  <w:style w:type="character" w:customStyle="1" w:styleId="74">
    <w:name w:val="Символ нумерации"/>
    <w:uiPriority w:val="0"/>
  </w:style>
  <w:style w:type="paragraph" w:customStyle="1" w:styleId="75">
    <w:name w:val="Заголовок1"/>
    <w:basedOn w:val="1"/>
    <w:next w:val="25"/>
    <w:uiPriority w:val="0"/>
    <w:pPr>
      <w:keepNext/>
      <w:spacing w:before="240" w:after="120"/>
    </w:pPr>
    <w:rPr>
      <w:rFonts w:ascii="Arial" w:hAnsi="Arial" w:eastAsia="Microsoft YaHei" w:cs="Mangal"/>
      <w:szCs w:val="28"/>
    </w:rPr>
  </w:style>
  <w:style w:type="paragraph" w:customStyle="1" w:styleId="76">
    <w:name w:val="Название1"/>
    <w:basedOn w:val="1"/>
    <w:uiPriority w:val="0"/>
    <w:pPr>
      <w:suppressLineNumbers/>
      <w:spacing w:before="120" w:after="120"/>
    </w:pPr>
    <w:rPr>
      <w:rFonts w:cs="Mangal"/>
      <w:i/>
      <w:iCs/>
    </w:rPr>
  </w:style>
  <w:style w:type="paragraph" w:customStyle="1" w:styleId="77">
    <w:name w:val="Указатель1"/>
    <w:basedOn w:val="1"/>
    <w:uiPriority w:val="0"/>
    <w:pPr>
      <w:suppressLineNumbers/>
    </w:pPr>
    <w:rPr>
      <w:rFonts w:cs="Mangal"/>
    </w:rPr>
  </w:style>
  <w:style w:type="paragraph" w:customStyle="1" w:styleId="78">
    <w:name w:val="ConsPlusNonformat"/>
    <w:uiPriority w:val="0"/>
    <w:pPr>
      <w:suppressAutoHyphens/>
      <w:autoSpaceDE w:val="0"/>
    </w:pPr>
    <w:rPr>
      <w:rFonts w:ascii="Courier New" w:hAnsi="Courier New" w:eastAsia="Times New Roman" w:cs="Courier New"/>
      <w:lang w:val="ru-RU" w:eastAsia="ar-SA" w:bidi="ar-SA"/>
    </w:rPr>
  </w:style>
  <w:style w:type="paragraph" w:customStyle="1" w:styleId="79">
    <w:name w:val="ConsPlusTitle"/>
    <w:uiPriority w:val="0"/>
    <w:pPr>
      <w:suppressAutoHyphens/>
      <w:autoSpaceDE w:val="0"/>
    </w:pPr>
    <w:rPr>
      <w:rFonts w:ascii="Times New Roman" w:hAnsi="Times New Roman" w:eastAsia="Times New Roman" w:cs="Times New Roman"/>
      <w:b/>
      <w:bCs/>
      <w:sz w:val="28"/>
      <w:szCs w:val="28"/>
      <w:lang w:val="ru-RU" w:eastAsia="ar-SA" w:bidi="ar-SA"/>
    </w:rPr>
  </w:style>
  <w:style w:type="paragraph" w:customStyle="1" w:styleId="80">
    <w:name w:val="ConsPlusCell"/>
    <w:uiPriority w:val="0"/>
    <w:pPr>
      <w:suppressAutoHyphens/>
      <w:autoSpaceDE w:val="0"/>
    </w:pPr>
    <w:rPr>
      <w:rFonts w:ascii="Courier New" w:hAnsi="Courier New" w:eastAsia="Times New Roman" w:cs="Courier New"/>
      <w:lang w:val="ru-RU" w:eastAsia="ar-SA" w:bidi="ar-SA"/>
    </w:rPr>
  </w:style>
  <w:style w:type="paragraph" w:customStyle="1" w:styleId="81">
    <w:name w:val="ConsPlusNormal"/>
    <w:uiPriority w:val="0"/>
    <w:pPr>
      <w:widowControl w:val="0"/>
      <w:suppressAutoHyphens/>
      <w:autoSpaceDE w:val="0"/>
    </w:pPr>
    <w:rPr>
      <w:rFonts w:ascii="Times New Roman" w:hAnsi="Times New Roman" w:eastAsia="Times New Roman" w:cs="Times New Roman"/>
      <w:sz w:val="24"/>
      <w:szCs w:val="24"/>
      <w:lang w:val="ru-RU" w:eastAsia="ar-SA" w:bidi="ar-SA"/>
    </w:rPr>
  </w:style>
  <w:style w:type="paragraph" w:customStyle="1" w:styleId="82">
    <w:name w:val="Основной текст 31"/>
    <w:basedOn w:val="1"/>
    <w:uiPriority w:val="0"/>
    <w:pPr>
      <w:jc w:val="both"/>
    </w:pPr>
    <w:rPr>
      <w:szCs w:val="20"/>
    </w:rPr>
  </w:style>
  <w:style w:type="paragraph" w:customStyle="1" w:styleId="83">
    <w:name w:val="Готовый"/>
    <w:basedOn w:val="1"/>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84">
    <w:name w:val="Заголовок №1"/>
    <w:basedOn w:val="3"/>
    <w:uiPriority w:val="0"/>
    <w:pPr>
      <w:numPr>
        <w:ilvl w:val="0"/>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85">
    <w:name w:val="Заголовок №2 (2)"/>
    <w:basedOn w:val="3"/>
    <w:uiPriority w:val="0"/>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86">
    <w:name w:val="Заголовок №31"/>
    <w:basedOn w:val="3"/>
    <w:uiPriority w:val="0"/>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87">
    <w:name w:val="Заголовок №4"/>
    <w:basedOn w:val="3"/>
    <w:uiPriority w:val="0"/>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88">
    <w:name w:val="Содержимое таблицы"/>
    <w:basedOn w:val="1"/>
    <w:uiPriority w:val="0"/>
    <w:pPr>
      <w:suppressLineNumbers/>
    </w:pPr>
  </w:style>
  <w:style w:type="paragraph" w:customStyle="1" w:styleId="89">
    <w:name w:val="Заголовок таблицы"/>
    <w:basedOn w:val="88"/>
    <w:uiPriority w:val="0"/>
    <w:pPr>
      <w:jc w:val="center"/>
    </w:pPr>
    <w:rPr>
      <w:b/>
      <w:bCs/>
    </w:rPr>
  </w:style>
  <w:style w:type="paragraph" w:customStyle="1" w:styleId="90">
    <w:name w:val="Текст сноски1"/>
    <w:basedOn w:val="1"/>
    <w:uiPriority w:val="0"/>
    <w:rPr>
      <w:color w:val="00000A"/>
      <w:sz w:val="20"/>
      <w:szCs w:val="20"/>
      <w:lang w:val="en-US"/>
    </w:rPr>
  </w:style>
  <w:style w:type="paragraph" w:customStyle="1" w:styleId="91">
    <w:name w:val="Обычный1"/>
    <w:uiPriority w:val="0"/>
    <w:pPr>
      <w:widowControl w:val="0"/>
      <w:suppressAutoHyphens/>
    </w:pPr>
    <w:rPr>
      <w:rFonts w:ascii="Times New Roman" w:hAnsi="Times New Roman" w:eastAsia="SimSun" w:cs="Mangal"/>
      <w:sz w:val="24"/>
      <w:szCs w:val="24"/>
      <w:lang w:val="ru-RU" w:eastAsia="hi-IN" w:bidi="hi-IN"/>
    </w:rPr>
  </w:style>
  <w:style w:type="paragraph" w:customStyle="1" w:styleId="92">
    <w:name w:val="Стиль3"/>
    <w:uiPriority w:val="0"/>
    <w:pPr>
      <w:widowControl w:val="0"/>
      <w:suppressAutoHyphens/>
      <w:autoSpaceDN w:val="0"/>
      <w:jc w:val="both"/>
      <w:textAlignment w:val="baseline"/>
    </w:pPr>
    <w:rPr>
      <w:rFonts w:ascii="Arial Unicode MS" w:hAnsi="Arial Unicode MS" w:eastAsia="Arial Unicode MS" w:cs="Arial Unicode MS"/>
      <w:kern w:val="3"/>
      <w:lang w:val="ru-RU" w:eastAsia="ru-RU" w:bidi="ar-SA"/>
    </w:rPr>
  </w:style>
  <w:style w:type="paragraph" w:customStyle="1" w:styleId="93">
    <w:name w:val="Footnote"/>
    <w:basedOn w:val="3"/>
    <w:uiPriority w:val="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94">
    <w:name w:val="Основной текст (2)"/>
    <w:basedOn w:val="3"/>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95">
    <w:name w:val="Текст примечания Знак"/>
    <w:link w:val="20"/>
    <w:semiHidden/>
    <w:uiPriority w:val="99"/>
    <w:rPr>
      <w:lang w:eastAsia="ar-SA"/>
    </w:rPr>
  </w:style>
  <w:style w:type="character" w:customStyle="1" w:styleId="96">
    <w:name w:val="Тема примечания Знак"/>
    <w:link w:val="21"/>
    <w:semiHidden/>
    <w:uiPriority w:val="99"/>
    <w:rPr>
      <w:b/>
      <w:bCs/>
      <w:lang w:eastAsia="ar-SA"/>
    </w:rPr>
  </w:style>
  <w:style w:type="character" w:styleId="97">
    <w:name w:val="Placeholder Text"/>
    <w:basedOn w:val="12"/>
    <w:semiHidden/>
    <w:uiPriority w:val="99"/>
    <w:rPr>
      <w:color w:val="808080"/>
    </w:rPr>
  </w:style>
  <w:style w:type="paragraph" w:styleId="98">
    <w:name w:val="List Paragraph"/>
    <w:basedOn w:val="1"/>
    <w:qFormat/>
    <w:uiPriority w:val="34"/>
    <w:pPr>
      <w:ind w:left="720"/>
      <w:contextualSpacing/>
    </w:pPr>
  </w:style>
  <w:style w:type="character" w:customStyle="1" w:styleId="99">
    <w:name w:val="Схема документа Знак"/>
    <w:basedOn w:val="12"/>
    <w:link w:val="22"/>
    <w:semiHidden/>
    <w:uiPriority w:val="99"/>
    <w:rPr>
      <w:rFonts w:ascii="Tahoma" w:hAnsi="Tahoma" w:cs="Tahoma"/>
      <w:sz w:val="16"/>
      <w:szCs w:val="16"/>
      <w:lang w:val="ru-RU" w:eastAsia="ar-SA"/>
    </w:rPr>
  </w:style>
  <w:style w:type="character" w:customStyle="1" w:styleId="100">
    <w:name w:val="Заголовок 1 Знак"/>
    <w:basedOn w:val="12"/>
    <w:link w:val="2"/>
    <w:uiPriority w:val="9"/>
    <w:rPr>
      <w:b/>
      <w:bCs/>
      <w:color w:val="00000A"/>
      <w:spacing w:val="-4"/>
      <w:kern w:val="1"/>
      <w:sz w:val="24"/>
      <w:szCs w:val="24"/>
      <w:lang w:val="ru-RU" w:eastAsia="ar-SA"/>
    </w:rPr>
  </w:style>
  <w:style w:type="character" w:customStyle="1" w:styleId="101">
    <w:name w:val="Заголовок 2 Знак"/>
    <w:basedOn w:val="12"/>
    <w:link w:val="4"/>
    <w:uiPriority w:val="9"/>
    <w:rPr>
      <w:b/>
      <w:bCs/>
      <w:color w:val="00000A"/>
      <w:spacing w:val="-4"/>
      <w:kern w:val="1"/>
      <w:sz w:val="24"/>
      <w:szCs w:val="24"/>
      <w:lang w:val="ru-RU" w:eastAsia="ar-SA"/>
    </w:rPr>
  </w:style>
  <w:style w:type="character" w:customStyle="1" w:styleId="102">
    <w:name w:val="Заголовок 4 Знак"/>
    <w:basedOn w:val="12"/>
    <w:link w:val="6"/>
    <w:semiHidden/>
    <w:uiPriority w:val="9"/>
    <w:rPr>
      <w:rFonts w:asciiTheme="majorHAnsi" w:hAnsiTheme="majorHAnsi" w:eastAsiaTheme="majorEastAsia" w:cstheme="majorBidi"/>
      <w:b/>
      <w:bCs/>
      <w:i/>
      <w:iCs/>
      <w:color w:val="5B9BD5" w:themeColor="accent1"/>
      <w:sz w:val="28"/>
      <w:szCs w:val="24"/>
      <w:lang w:val="ru-RU" w:eastAsia="ar-SA"/>
      <w14:textFill>
        <w14:solidFill>
          <w14:schemeClr w14:val="accent1"/>
        </w14:solidFill>
      </w14:textFill>
    </w:rPr>
  </w:style>
  <w:style w:type="character" w:customStyle="1" w:styleId="103">
    <w:name w:val="Заголовок 5 Знак"/>
    <w:basedOn w:val="12"/>
    <w:link w:val="7"/>
    <w:semiHidden/>
    <w:uiPriority w:val="9"/>
    <w:rPr>
      <w:rFonts w:asciiTheme="majorHAnsi" w:hAnsiTheme="majorHAnsi" w:eastAsiaTheme="majorEastAsia" w:cstheme="majorBidi"/>
      <w:color w:val="1F4E79" w:themeColor="accent1" w:themeShade="80"/>
      <w:sz w:val="28"/>
      <w:szCs w:val="24"/>
      <w:lang w:val="ru-RU" w:eastAsia="ar-SA"/>
    </w:rPr>
  </w:style>
  <w:style w:type="character" w:customStyle="1" w:styleId="104">
    <w:name w:val="Заголовок 6 Знак"/>
    <w:basedOn w:val="12"/>
    <w:link w:val="8"/>
    <w:semiHidden/>
    <w:uiPriority w:val="9"/>
    <w:rPr>
      <w:rFonts w:asciiTheme="majorHAnsi" w:hAnsiTheme="majorHAnsi" w:eastAsiaTheme="majorEastAsia" w:cstheme="majorBidi"/>
      <w:i/>
      <w:iCs/>
      <w:color w:val="1F4E79" w:themeColor="accent1" w:themeShade="80"/>
      <w:sz w:val="28"/>
      <w:szCs w:val="24"/>
      <w:lang w:val="ru-RU" w:eastAsia="ar-SA"/>
    </w:rPr>
  </w:style>
  <w:style w:type="character" w:customStyle="1" w:styleId="105">
    <w:name w:val="Заголовок 7 Знак"/>
    <w:basedOn w:val="12"/>
    <w:link w:val="9"/>
    <w:semiHidden/>
    <w:uiPriority w:val="9"/>
    <w:rPr>
      <w:rFonts w:asciiTheme="majorHAnsi" w:hAnsiTheme="majorHAnsi" w:eastAsiaTheme="majorEastAsia" w:cstheme="majorBidi"/>
      <w:i/>
      <w:iCs/>
      <w:color w:val="404040" w:themeColor="text1" w:themeTint="BF"/>
      <w:sz w:val="28"/>
      <w:szCs w:val="24"/>
      <w:lang w:val="ru-RU" w:eastAsia="ar-SA"/>
      <w14:textFill>
        <w14:solidFill>
          <w14:schemeClr w14:val="tx1">
            <w14:lumMod w14:val="75000"/>
            <w14:lumOff w14:val="25000"/>
          </w14:schemeClr>
        </w14:solidFill>
      </w14:textFill>
    </w:rPr>
  </w:style>
  <w:style w:type="character" w:customStyle="1" w:styleId="106">
    <w:name w:val="Заголовок 8 Знак"/>
    <w:basedOn w:val="12"/>
    <w:link w:val="10"/>
    <w:semiHidden/>
    <w:uiPriority w:val="9"/>
    <w:rPr>
      <w:rFonts w:asciiTheme="majorHAnsi" w:hAnsiTheme="majorHAnsi" w:eastAsiaTheme="majorEastAsia" w:cstheme="majorBidi"/>
      <w:color w:val="404040" w:themeColor="text1" w:themeTint="BF"/>
      <w:lang w:val="ru-RU" w:eastAsia="ar-SA"/>
      <w14:textFill>
        <w14:solidFill>
          <w14:schemeClr w14:val="tx1">
            <w14:lumMod w14:val="75000"/>
            <w14:lumOff w14:val="25000"/>
          </w14:schemeClr>
        </w14:solidFill>
      </w14:textFill>
    </w:rPr>
  </w:style>
  <w:style w:type="character" w:customStyle="1" w:styleId="107">
    <w:name w:val="Заголовок 9 Знак"/>
    <w:basedOn w:val="12"/>
    <w:link w:val="11"/>
    <w:semiHidden/>
    <w:uiPriority w:val="9"/>
    <w:rPr>
      <w:rFonts w:asciiTheme="majorHAnsi" w:hAnsiTheme="majorHAnsi" w:eastAsiaTheme="majorEastAsia" w:cstheme="majorBidi"/>
      <w:i/>
      <w:iCs/>
      <w:color w:val="404040" w:themeColor="text1" w:themeTint="BF"/>
      <w:lang w:val="ru-RU" w:eastAsia="ar-SA"/>
      <w14:textFill>
        <w14:solidFill>
          <w14:schemeClr w14:val="tx1">
            <w14:lumMod w14:val="75000"/>
            <w14:lumOff w14:val="25000"/>
          </w14:schemeClr>
        </w14:solidFill>
      </w14:textFill>
    </w:rPr>
  </w:style>
  <w:style w:type="paragraph" w:customStyle="1" w:styleId="108">
    <w:name w:val="Заголовок таблицы1"/>
    <w:basedOn w:val="1"/>
    <w:link w:val="109"/>
    <w:qFormat/>
    <w:uiPriority w:val="0"/>
    <w:pPr>
      <w:suppressAutoHyphens w:val="0"/>
      <w:ind w:firstLine="0"/>
    </w:pPr>
    <w:rPr>
      <w:rFonts w:eastAsia="Times New Roman"/>
      <w:b/>
    </w:rPr>
  </w:style>
  <w:style w:type="character" w:customStyle="1" w:styleId="109">
    <w:name w:val="Заголовок таблицы1 Знак"/>
    <w:basedOn w:val="12"/>
    <w:link w:val="108"/>
    <w:uiPriority w:val="0"/>
    <w:rPr>
      <w:b/>
      <w:sz w:val="24"/>
      <w:szCs w:val="24"/>
      <w:lang w:eastAsia="ar-SA"/>
    </w:rPr>
  </w:style>
  <w:style w:type="paragraph" w:customStyle="1" w:styleId="110">
    <w:name w:val="Тест таблицы"/>
    <w:basedOn w:val="1"/>
    <w:link w:val="111"/>
    <w:qFormat/>
    <w:uiPriority w:val="0"/>
    <w:pPr>
      <w:ind w:firstLine="0"/>
    </w:pPr>
    <w:rPr>
      <w:rFonts w:eastAsia="Times New Roman"/>
    </w:rPr>
  </w:style>
  <w:style w:type="character" w:customStyle="1" w:styleId="111">
    <w:name w:val="Тест таблицы Знак"/>
    <w:basedOn w:val="12"/>
    <w:link w:val="110"/>
    <w:uiPriority w:val="0"/>
    <w:rPr>
      <w:sz w:val="24"/>
      <w:szCs w:val="24"/>
      <w:lang w:val="ru-RU" w:eastAsia="ar-SA"/>
    </w:rPr>
  </w:style>
  <w:style w:type="paragraph" w:customStyle="1" w:styleId="112">
    <w:name w:val="Название таблицы"/>
    <w:basedOn w:val="19"/>
    <w:link w:val="114"/>
    <w:qFormat/>
    <w:uiPriority w:val="0"/>
    <w:pPr>
      <w:keepNext/>
      <w:jc w:val="right"/>
    </w:pPr>
    <w:rPr>
      <w:i w:val="0"/>
      <w:color w:val="auto"/>
      <w:sz w:val="24"/>
      <w:szCs w:val="24"/>
    </w:rPr>
  </w:style>
  <w:style w:type="character" w:customStyle="1" w:styleId="113">
    <w:name w:val="Название объекта Знак"/>
    <w:basedOn w:val="12"/>
    <w:link w:val="19"/>
    <w:uiPriority w:val="35"/>
    <w:rPr>
      <w:rFonts w:eastAsiaTheme="minorHAnsi"/>
      <w:i/>
      <w:iCs/>
      <w:color w:val="44546A" w:themeColor="text2"/>
      <w:sz w:val="18"/>
      <w:szCs w:val="18"/>
      <w:lang w:val="ru-RU" w:eastAsia="ar-SA"/>
      <w14:textFill>
        <w14:solidFill>
          <w14:schemeClr w14:val="tx2"/>
        </w14:solidFill>
      </w14:textFill>
    </w:rPr>
  </w:style>
  <w:style w:type="character" w:customStyle="1" w:styleId="114">
    <w:name w:val="Название таблицы Знак"/>
    <w:basedOn w:val="113"/>
    <w:link w:val="112"/>
    <w:uiPriority w:val="0"/>
    <w:rPr>
      <w:rFonts w:eastAsiaTheme="minorHAnsi"/>
      <w:i w:val="0"/>
      <w:color w:val="44546A" w:themeColor="text2"/>
      <w:sz w:val="24"/>
      <w:szCs w:val="24"/>
      <w:lang w:val="ru-RU" w:eastAsia="ar-SA"/>
      <w14:textFill>
        <w14:solidFill>
          <w14:schemeClr w14:val="tx2"/>
        </w14:solidFill>
      </w14:textFill>
    </w:rPr>
  </w:style>
  <w:style w:type="paragraph" w:customStyle="1" w:styleId="115">
    <w:name w:val="Абзац текста"/>
    <w:basedOn w:val="1"/>
    <w:link w:val="116"/>
    <w:qFormat/>
    <w:uiPriority w:val="0"/>
    <w:pPr>
      <w:spacing w:after="100"/>
    </w:pPr>
    <w:rPr>
      <w:rFonts w:eastAsia="Times New Roman"/>
      <w:szCs w:val="28"/>
    </w:rPr>
  </w:style>
  <w:style w:type="character" w:customStyle="1" w:styleId="116">
    <w:name w:val="Абзац текста Знак"/>
    <w:basedOn w:val="12"/>
    <w:link w:val="115"/>
    <w:qFormat/>
    <w:uiPriority w:val="0"/>
    <w:rPr>
      <w:sz w:val="24"/>
      <w:szCs w:val="28"/>
      <w:lang w:val="ru-RU" w:eastAsia="ar-SA"/>
    </w:rPr>
  </w:style>
  <w:style w:type="paragraph" w:customStyle="1" w:styleId="117">
    <w:name w:val="Нормальный (таблица)"/>
    <w:basedOn w:val="1"/>
    <w:next w:val="1"/>
    <w:uiPriority w:val="99"/>
    <w:pPr>
      <w:widowControl w:val="0"/>
      <w:suppressAutoHyphens w:val="0"/>
      <w:autoSpaceDE w:val="0"/>
      <w:autoSpaceDN w:val="0"/>
      <w:adjustRightInd w:val="0"/>
      <w:ind w:firstLine="0"/>
      <w:jc w:val="both"/>
    </w:pPr>
    <w:rPr>
      <w:rFonts w:ascii="Times New Roman CYR" w:hAnsi="Times New Roman CYR" w:cs="Times New Roman CYR" w:eastAsiaTheme="minorEastAsia"/>
      <w:lang w:eastAsia="ru-RU"/>
    </w:rPr>
  </w:style>
  <w:style w:type="character" w:customStyle="1" w:styleId="118">
    <w:name w:val="Unresolved Mention1"/>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1DCFF62-5318-4A22-A41E-67422C44281B}">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203</Pages>
  <Words>16139</Words>
  <Characters>91997</Characters>
  <Lines>766</Lines>
  <Paragraphs>215</Paragraphs>
  <TotalTime>306</TotalTime>
  <ScaleCrop>false</ScaleCrop>
  <LinksUpToDate>false</LinksUpToDate>
  <CharactersWithSpaces>107921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2023-06-27T11:29:00Z</dcterms:created>
  <dc:creator>admin</dc:creator>
  <cp:lastModifiedBy>Татьяна</cp:lastModifiedBy>
  <cp:lastPrinted>2016-02-16T07:09:00Z</cp:lastPrinted>
  <dcterms:modified xsi:type="dcterms:W3CDTF">2023-08-30T07:01:05Z</dcterms:modified>
  <dc:title>Приложение № 2</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1049-11.2.0.11537</vt:lpwstr>
  </property>
  <property fmtid="{D5CDD505-2E9C-101B-9397-08002B2CF9AE}" pid="4" name="ICV">
    <vt:lpwstr>F1AE0D6E0CB4413B97860B42523FF0D7</vt:lpwstr>
  </property>
</Properties>
</file>