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099753-22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нестерильного белья</w:t>
      </w:r>
    </w:p>
    <w:p w:rsidR="007C3BF1" w:rsidRDefault="00943E25">
      <w:pPr>
        <w:ind w:left="1418"/>
      </w:pPr>
      <w:r w:rsidR="008C2287">
        <w:t xml:space="preserve">Цена </w:t>
      </w:r>
      <w:r w:rsidR="008C2287">
        <w:t>договора</w:t>
      </w:r>
      <w:r w:rsidR="008C2287">
        <w:t>, руб.:</w:t>
      </w:r>
      <w:r w:rsidR="001406FC">
        <w:t xml:space="preserve"> </w:t>
      </w:r>
      <w:r w:rsidR="008C2287">
        <w:t>1 877 564,77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01.71.03.03.02.01.02.1592</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Бахилы токопроводящие, нестерильные</w:t>
            </w:r>
          </w:p>
        </w:tc>
        <w:tc>
          <w:tcPr>
            <w:tcW w:w="2430" w:type="dxa"/>
          </w:tcPr>
          <w:p w:rsidR="007C3BF1" w:rsidRDefault="008C2287">
            <w:pPr>
              <w:pStyle w:val="a8"/>
            </w:pPr>
            <w:r>
              <w:t>(не указано)*</w:t>
            </w:r>
          </w:p>
        </w:tc>
        <w:tc>
          <w:tcPr>
            <w:tcW w:w="1654" w:type="dxa"/>
          </w:tcPr>
          <w:p w:rsidR="007C3BF1" w:rsidRDefault="00943E25">
            <w:pPr>
              <w:pStyle w:val="a8"/>
            </w:pPr>
            <w:r w:rsidR="008C2287">
              <w:t>280 000,00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01.71.03.03.02.01.02.1496</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Наволочка стандартная,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2 000,00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01.71.03.03.02.01.02.324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для осмотра/терапевтических процедур,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17 500,00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01.71.03.03.02.01.02.324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для осмотра/терапевтических процедур,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6 300,00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01.71.03.03.02.01.02.324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для осмотра/терапевтических процедур,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01.71.03.03.02.01.02.324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для осмотра/терапевтических процедур,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21,00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1 300,00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1 050,00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01.21.01.15.26.326.15</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Халат процедурный,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одноразового нестерильного белья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Наволочка стандартная,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для осмотра/терапевтических процедур,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для осмотра/терапевтических процедур,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для осмотра/терапевтических процедур,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для осмотра/терапевтических процедур,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процедурный,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одноразового нестерильного белья)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одноразового нестерильного белья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