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01.23.04.07</w:t>
            </w:r>
            <w:r w:rsidR="005E1E29">
              <w:rPr>
                <w:b/>
              </w:rPr>
              <w:t xml:space="preserve"> / </w:t>
            </w:r>
            <w:r w:rsidR="005E1E29">
              <w:t>27.40.39.119</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Световой пульт</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Поставка светового оборудования</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Световой пульт</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унифицированный формат, утвержденный приказом ФНС России» (Поставка светового оборудования)</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42326, Московская область, городской округ Чехов, село Мелихово, территория Музей-заповедник А.П. Чехова</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Поставка светового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Поставка светового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Поставка светового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C20D1" w14:paraId="4EF5E733" w14:textId="77777777">
            <w:pPr>
              <w:pStyle w:val="aff2"/>
            </w:pPr>
            <w:r w:rsidR="00C40026">
              <w:t>Поставка светового оборудования</w:t>
            </w:r>
          </w:p>
        </w:tc>
        <w:tc>
          <w:tcPr>
            <w:tcW w:w="2615" w:type="pct"/>
            <w:tcBorders>
              <w:top w:val="single" w:color="auto" w:sz="4" w:space="0"/>
              <w:left w:val="single" w:color="auto" w:sz="4" w:space="0"/>
              <w:bottom w:val="single" w:color="auto" w:sz="4" w:space="0"/>
              <w:right w:val="single" w:color="auto" w:sz="4" w:space="0"/>
            </w:tcBorders>
          </w:tcPr>
          <w:p w:rsidR="00B94160" w:rsidRDefault="00AC20D1" w14:paraId="4AB35F40" w14:textId="77777777">
            <w:pPr>
              <w:pStyle w:val="aff2"/>
            </w:pPr>
            <w:r w:rsidR="00C40026">
              <w:t>Универсальный передаточный документ (СЧФДОП), унифицированный формат, утвержденный приказом ФНС России</w:t>
            </w:r>
          </w:p>
        </w:tc>
      </w:tr>
    </w:tbl>
    <w:p w:rsidR="00B94160" w:rsidRDefault="00AC20D1"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048848-21</w:t>
    </w:r>
  </w:p>
  <w:p w:rsidR="009643D6" w:rsidRDefault="009643D6"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