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01.21.01.02.56.982</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Мочеточниковая оболочка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расходных материалов для выполнения малоинвазивных вмешательств</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Мочеточниковая оболочка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расходных материалов для выполнения малоинвазивных вмешательств</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расходных материалов для выполнения малоинвазивных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расходных материалов для выполнения малоинвазивных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расходных материалов для выполнения малоинвазивных вмешательств</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расходных материалов для выполнения малоинвазивных вмешательств</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116759-21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