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10658391" w14:textId="5DF61E6D" w:rsidR="00E5654D" w:rsidRDefault="004C48EF" w:rsidP="0064232B">
      <w:pPr>
        <w:spacing w:after="0"/>
        <w:ind w:firstLine="567"/>
        <w:jc w:val="both"/>
        <w:rPr>
          <w:rFonts w:ascii="Times New Roman" w:eastAsia="Times New Roman" w:hAnsi="Times New Roman"/>
          <w:sz w:val="20"/>
          <w:szCs w:val="20"/>
          <w:lang w:eastAsia="ru-RU"/>
        </w:rPr>
      </w:pPr>
      <w:r w:rsidRPr="00D1578A">
        <w:rPr>
          <w:rFonts w:ascii="Times New Roman" w:eastAsia="Times New Roman" w:hAnsi="Times New Roman"/>
          <w:b/>
          <w:sz w:val="20"/>
          <w:szCs w:val="20"/>
          <w:lang w:eastAsia="ru-RU"/>
        </w:rPr>
        <w:t>Муниципальное автономное</w:t>
      </w:r>
      <w:r w:rsidRPr="00630529">
        <w:rPr>
          <w:rFonts w:ascii="Times New Roman" w:eastAsia="Times New Roman" w:hAnsi="Times New Roman"/>
          <w:b/>
          <w:sz w:val="20"/>
          <w:szCs w:val="20"/>
          <w:lang w:eastAsia="ru-RU"/>
        </w:rPr>
        <w:t xml:space="preserve"> </w:t>
      </w:r>
      <w:r w:rsidRPr="00D1578A">
        <w:rPr>
          <w:rFonts w:ascii="Times New Roman" w:eastAsia="Times New Roman" w:hAnsi="Times New Roman"/>
          <w:b/>
          <w:sz w:val="20"/>
          <w:szCs w:val="20"/>
          <w:lang w:eastAsia="ru-RU"/>
        </w:rPr>
        <w:t xml:space="preserve">образовательное учреждение Лицей имени Героя России Веры Волошиной </w:t>
      </w:r>
      <w:r w:rsidRPr="00D1578A">
        <w:rPr>
          <w:rFonts w:ascii="Times New Roman" w:eastAsia="Times New Roman" w:hAnsi="Times New Roman"/>
          <w:sz w:val="20"/>
          <w:szCs w:val="20"/>
          <w:lang w:eastAsia="ru-RU"/>
        </w:rPr>
        <w:t>(сокращенное наименование –</w:t>
      </w:r>
      <w:r w:rsidRPr="00D1578A">
        <w:rPr>
          <w:rFonts w:ascii="Times New Roman" w:eastAsia="Times New Roman" w:hAnsi="Times New Roman"/>
          <w:b/>
          <w:sz w:val="20"/>
          <w:szCs w:val="20"/>
          <w:lang w:eastAsia="ru-RU"/>
        </w:rPr>
        <w:t xml:space="preserve"> МАОУ Лицей имени Героя России В. Волошиной</w:t>
      </w:r>
      <w:r w:rsidRPr="00D1578A">
        <w:rPr>
          <w:rFonts w:ascii="Times New Roman" w:eastAsia="Times New Roman" w:hAnsi="Times New Roman"/>
          <w:sz w:val="20"/>
          <w:szCs w:val="20"/>
          <w:lang w:eastAsia="ru-RU"/>
        </w:rPr>
        <w:t>)</w:t>
      </w:r>
      <w:r w:rsidRPr="00D1578A">
        <w:rPr>
          <w:rFonts w:ascii="Times New Roman" w:eastAsia="Times New Roman" w:hAnsi="Times New Roman"/>
          <w:b/>
          <w:sz w:val="20"/>
          <w:szCs w:val="20"/>
          <w:lang w:eastAsia="ru-RU"/>
        </w:rPr>
        <w:t xml:space="preserve">, </w:t>
      </w:r>
      <w:r w:rsidRPr="00D1578A">
        <w:rPr>
          <w:rFonts w:ascii="Times New Roman" w:eastAsia="Times New Roman" w:hAnsi="Times New Roman"/>
          <w:sz w:val="20"/>
          <w:szCs w:val="20"/>
          <w:lang w:eastAsia="ru-RU"/>
        </w:rPr>
        <w:t>далее именуемое </w:t>
      </w:r>
      <w:r w:rsidRPr="00D1578A">
        <w:rPr>
          <w:rFonts w:ascii="Times New Roman" w:eastAsia="Times New Roman" w:hAnsi="Times New Roman"/>
          <w:b/>
          <w:sz w:val="20"/>
          <w:szCs w:val="20"/>
          <w:lang w:eastAsia="ru-RU"/>
        </w:rPr>
        <w:t xml:space="preserve">"Заказчик", </w:t>
      </w:r>
      <w:r w:rsidRPr="00D1578A">
        <w:rPr>
          <w:rFonts w:ascii="Times New Roman" w:eastAsia="Times New Roman" w:hAnsi="Times New Roman"/>
          <w:sz w:val="20"/>
          <w:szCs w:val="20"/>
          <w:lang w:eastAsia="ru-RU"/>
        </w:rPr>
        <w:t>в лице</w:t>
      </w:r>
      <w:r w:rsidRPr="00D1578A">
        <w:rPr>
          <w:rFonts w:ascii="Times New Roman" w:eastAsia="Times New Roman" w:hAnsi="Times New Roman"/>
          <w:b/>
          <w:sz w:val="20"/>
          <w:szCs w:val="20"/>
          <w:lang w:eastAsia="ru-RU"/>
        </w:rPr>
        <w:t xml:space="preserve"> </w:t>
      </w:r>
      <w:proofErr w:type="spellStart"/>
      <w:r w:rsidRPr="00D1578A">
        <w:rPr>
          <w:rFonts w:ascii="Times New Roman" w:eastAsia="Times New Roman" w:hAnsi="Times New Roman"/>
          <w:b/>
          <w:sz w:val="20"/>
          <w:szCs w:val="20"/>
          <w:lang w:eastAsia="ru-RU"/>
        </w:rPr>
        <w:t>и.о</w:t>
      </w:r>
      <w:proofErr w:type="spellEnd"/>
      <w:r w:rsidRPr="00D1578A">
        <w:rPr>
          <w:rFonts w:ascii="Times New Roman" w:eastAsia="Times New Roman" w:hAnsi="Times New Roman"/>
          <w:b/>
          <w:sz w:val="20"/>
          <w:szCs w:val="20"/>
          <w:lang w:eastAsia="ru-RU"/>
        </w:rPr>
        <w:t xml:space="preserve">. директора </w:t>
      </w:r>
      <w:proofErr w:type="spellStart"/>
      <w:r>
        <w:rPr>
          <w:rFonts w:ascii="Times New Roman" w:eastAsia="Times New Roman" w:hAnsi="Times New Roman"/>
          <w:b/>
          <w:sz w:val="20"/>
          <w:szCs w:val="20"/>
          <w:lang w:eastAsia="ru-RU"/>
        </w:rPr>
        <w:t>Хударовой</w:t>
      </w:r>
      <w:proofErr w:type="spellEnd"/>
      <w:r>
        <w:rPr>
          <w:rFonts w:ascii="Times New Roman" w:eastAsia="Times New Roman" w:hAnsi="Times New Roman"/>
          <w:b/>
          <w:sz w:val="20"/>
          <w:szCs w:val="20"/>
          <w:lang w:eastAsia="ru-RU"/>
        </w:rPr>
        <w:t xml:space="preserve"> Татьяны Юрьевны,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0064232B" w:rsidRPr="00A125C6">
        <w:rPr>
          <w:rFonts w:ascii="Times New Roman" w:eastAsia="Times New Roman" w:hAnsi="Times New Roman"/>
          <w:sz w:val="20"/>
          <w:szCs w:val="20"/>
          <w:lang w:eastAsia="ru-RU"/>
        </w:rPr>
        <w:t>,</w:t>
      </w:r>
      <w:r w:rsidR="0064232B" w:rsidRPr="0059122B">
        <w:rPr>
          <w:rFonts w:ascii="Times New Roman" w:eastAsia="Times New Roman" w:hAnsi="Times New Roman"/>
          <w:sz w:val="20"/>
          <w:szCs w:val="20"/>
          <w:lang w:eastAsia="ru-RU"/>
        </w:rPr>
        <w:t xml:space="preserve"> именуемое в дальнейшем </w:t>
      </w:r>
      <w:r w:rsidR="0064232B" w:rsidRPr="009911BB">
        <w:rPr>
          <w:rFonts w:ascii="Times New Roman" w:eastAsia="Times New Roman" w:hAnsi="Times New Roman"/>
          <w:b/>
          <w:sz w:val="20"/>
          <w:szCs w:val="20"/>
          <w:lang w:eastAsia="ru-RU"/>
        </w:rPr>
        <w:t>«</w:t>
      </w:r>
      <w:r w:rsidR="0064232B" w:rsidRPr="009911BB">
        <w:rPr>
          <w:rFonts w:ascii="Times New Roman" w:eastAsia="Times New Roman" w:hAnsi="Times New Roman"/>
          <w:b/>
          <w:snapToGrid w:val="0"/>
          <w:sz w:val="20"/>
          <w:szCs w:val="20"/>
          <w:lang w:eastAsia="ru-RU"/>
        </w:rPr>
        <w:t>Исполнитель</w:t>
      </w:r>
      <w:r w:rsidR="0064232B" w:rsidRPr="009911BB">
        <w:rPr>
          <w:rFonts w:ascii="Times New Roman" w:eastAsia="Times New Roman" w:hAnsi="Times New Roman"/>
          <w:b/>
          <w:sz w:val="20"/>
          <w:szCs w:val="20"/>
          <w:lang w:eastAsia="ru-RU"/>
        </w:rPr>
        <w:t>»,</w:t>
      </w:r>
      <w:r w:rsidR="0064232B"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0064232B" w:rsidRPr="0059122B">
        <w:rPr>
          <w:rFonts w:ascii="Times New Roman" w:eastAsia="Times New Roman" w:hAnsi="Times New Roman"/>
          <w:sz w:val="20"/>
          <w:szCs w:val="20"/>
          <w:lang w:eastAsia="ru-RU"/>
        </w:rPr>
        <w:t xml:space="preserve">, </w:t>
      </w:r>
      <w:r w:rsidR="0064232B" w:rsidRPr="0059122B">
        <w:rPr>
          <w:rFonts w:ascii="Times New Roman" w:eastAsia="Times New Roman" w:hAnsi="Times New Roman"/>
          <w:bCs/>
          <w:sz w:val="20"/>
          <w:szCs w:val="20"/>
          <w:lang w:eastAsia="ru-RU"/>
        </w:rPr>
        <w:t xml:space="preserve">действующего на основании </w:t>
      </w:r>
      <w:r w:rsidR="0064232B">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закупках</w:t>
      </w:r>
      <w:bookmarkStart w:id="1" w:name="_Toc323815169"/>
      <w:bookmarkEnd w:id="0"/>
      <w:r w:rsidR="00E455CC" w:rsidRPr="00A125C6">
        <w:rPr>
          <w:rFonts w:ascii="Times New Roman" w:eastAsia="Times New Roman" w:hAnsi="Times New Roman"/>
          <w:sz w:val="20"/>
          <w:szCs w:val="20"/>
          <w:lang w:eastAsia="ru-RU"/>
        </w:rPr>
        <w:t xml:space="preserve"> товаров, работ, </w:t>
      </w:r>
      <w:bookmarkEnd w:id="1"/>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sidR="0064232B">
        <w:rPr>
          <w:rFonts w:ascii="Times New Roman" w:eastAsia="Times New Roman" w:hAnsi="Times New Roman"/>
          <w:sz w:val="20"/>
          <w:szCs w:val="20"/>
          <w:lang w:eastAsia="ru-RU"/>
        </w:rPr>
        <w:t xml:space="preserve">Протокол </w:t>
      </w:r>
      <w:r w:rsidR="0064232B" w:rsidRPr="0064232B">
        <w:rPr>
          <w:rFonts w:ascii="Times New Roman" w:eastAsia="Times New Roman" w:hAnsi="Times New Roman"/>
          <w:sz w:val="20"/>
          <w:szCs w:val="20"/>
          <w:lang w:eastAsia="ru-RU"/>
        </w:rPr>
        <w:t>подведения итог</w:t>
      </w:r>
      <w:r w:rsidR="0064232B">
        <w:rPr>
          <w:rFonts w:ascii="Times New Roman" w:eastAsia="Times New Roman" w:hAnsi="Times New Roman"/>
          <w:sz w:val="20"/>
          <w:szCs w:val="20"/>
          <w:lang w:eastAsia="ru-RU"/>
        </w:rPr>
        <w:t xml:space="preserve">ов конкурса в электронной форме </w:t>
      </w:r>
      <w:r w:rsidR="0064232B"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sidR="0064232B">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1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2AE93868"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За счет средств бюджета Московской области</w:t>
      </w:r>
      <w:r w:rsidR="00B81165">
        <w:rPr>
          <w:rFonts w:ascii="Times New Roman" w:eastAsia="Times New Roman" w:hAnsi="Times New Roman"/>
          <w:sz w:val="20"/>
          <w:szCs w:val="20"/>
          <w:lang w:eastAsia="ru-RU"/>
        </w:rPr>
        <w:t xml:space="preserve"> и Наро-Фоминского городского округа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 xml:space="preserve">ередать Исполнителю в безвозмездное пользование, на основании </w:t>
      </w:r>
      <w:proofErr w:type="spellStart"/>
      <w:r w:rsidR="00B91FB7" w:rsidRPr="00B07194">
        <w:rPr>
          <w:rFonts w:ascii="Times New Roman" w:eastAsia="Times New Roman" w:hAnsi="Times New Roman"/>
          <w:sz w:val="20"/>
          <w:szCs w:val="20"/>
          <w:lang w:eastAsia="ru-RU"/>
        </w:rPr>
        <w:t>пп</w:t>
      </w:r>
      <w:proofErr w:type="spellEnd"/>
      <w:r w:rsidR="00B91FB7" w:rsidRPr="00B07194">
        <w:rPr>
          <w:rFonts w:ascii="Times New Roman" w:eastAsia="Times New Roman" w:hAnsi="Times New Roman"/>
          <w:sz w:val="20"/>
          <w:szCs w:val="20"/>
          <w:lang w:eastAsia="ru-RU"/>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sidR="00B91FB7" w:rsidRPr="00B07194">
        <w:rPr>
          <w:rFonts w:ascii="Times New Roman" w:eastAsia="Times New Roman" w:hAnsi="Times New Roman"/>
          <w:sz w:val="20"/>
          <w:szCs w:val="20"/>
          <w:lang w:eastAsia="ru-RU"/>
        </w:rPr>
        <w:t>весоизмерительное</w:t>
      </w:r>
      <w:proofErr w:type="spellEnd"/>
      <w:r w:rsidR="00B91FB7" w:rsidRPr="00B07194">
        <w:rPr>
          <w:rFonts w:ascii="Times New Roman" w:eastAsia="Times New Roman" w:hAnsi="Times New Roman"/>
          <w:sz w:val="20"/>
          <w:szCs w:val="20"/>
          <w:lang w:eastAsia="ru-RU"/>
        </w:rPr>
        <w:t xml:space="preserve">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5EA1675C"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r w:rsidR="00E23E2F" w:rsidRPr="00E23E2F">
        <w:rPr>
          <w:rFonts w:ascii="Times New Roman" w:hAnsi="Times New Roman"/>
          <w:b/>
          <w:sz w:val="20"/>
          <w:szCs w:val="20"/>
        </w:rPr>
        <w:t>42 897 (сорок две тысячи восемьсот девяносто восемь) рублей 30 копеек</w:t>
      </w:r>
      <w:r w:rsidRPr="00425559">
        <w:rPr>
          <w:rFonts w:ascii="Times New Roman" w:eastAsia="Times New Roman" w:hAnsi="Times New Roman"/>
          <w:sz w:val="20"/>
          <w:szCs w:val="28"/>
          <w:lang w:eastAsia="ru-RU"/>
        </w:rPr>
        <w:t xml:space="preserve">. </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w:t>
      </w:r>
      <w:bookmarkStart w:id="2" w:name="_GoBack"/>
      <w:bookmarkEnd w:id="2"/>
      <w:r w:rsidRPr="00A125C6">
        <w:rPr>
          <w:rFonts w:ascii="Times New Roman" w:eastAsia="Times New Roman" w:hAnsi="Times New Roman"/>
          <w:sz w:val="20"/>
          <w:szCs w:val="28"/>
          <w:lang w:eastAsia="ru-RU"/>
        </w:rPr>
        <w:t>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w:t>
      </w:r>
      <w:proofErr w:type="spellStart"/>
      <w:r w:rsidRPr="00A125C6">
        <w:rPr>
          <w:rFonts w:ascii="Times New Roman" w:eastAsia="Times New Roman" w:hAnsi="Times New Roman"/>
          <w:sz w:val="20"/>
          <w:szCs w:val="28"/>
          <w:lang w:eastAsia="ru-RU"/>
        </w:rPr>
        <w:t>ых</w:t>
      </w:r>
      <w:proofErr w:type="spellEnd"/>
      <w:r w:rsidRPr="00A125C6">
        <w:rPr>
          <w:rFonts w:ascii="Times New Roman" w:eastAsia="Times New Roman" w:hAnsi="Times New Roman"/>
          <w:sz w:val="20"/>
          <w:szCs w:val="28"/>
          <w:lang w:eastAsia="ru-RU"/>
        </w:rPr>
        <w:t>)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w:t>
      </w:r>
      <w:r w:rsidRPr="00A125C6">
        <w:rPr>
          <w:rFonts w:ascii="Times New Roman" w:eastAsia="Times New Roman" w:hAnsi="Times New Roman"/>
          <w:sz w:val="20"/>
          <w:szCs w:val="20"/>
          <w:lang w:eastAsia="ru-RU"/>
        </w:rPr>
        <w:lastRenderedPageBreak/>
        <w:t>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xml:space="preserve">. настоящего Договора.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w:t>
      </w:r>
      <w:proofErr w:type="gramStart"/>
      <w:r>
        <w:rPr>
          <w:rFonts w:ascii="Times New Roman" w:hAnsi="Times New Roman"/>
          <w:color w:val="00000A"/>
          <w:sz w:val="20"/>
          <w:szCs w:val="20"/>
        </w:rPr>
        <w:t>3.Договора</w:t>
      </w:r>
      <w:proofErr w:type="gramEnd"/>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66BD81F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контракта»;</w:t>
      </w:r>
      <w:r w:rsidRPr="00473EE5">
        <w:rPr>
          <w:rFonts w:ascii="Times New Roman" w:hAnsi="Times New Roman"/>
          <w:sz w:val="20"/>
          <w:szCs w:val="20"/>
        </w:rPr>
        <w:t xml:space="preserve"> </w:t>
      </w:r>
    </w:p>
    <w:p w14:paraId="33A7A1BF" w14:textId="17C6D641"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«Регламент электронного документооборота Портала исполнения контрактов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6A2A3F3B"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E5654D" w:rsidRPr="00E013EF">
        <w:rPr>
          <w:rFonts w:ascii="Times New Roman" w:eastAsia="Times New Roman" w:hAnsi="Times New Roman"/>
          <w:sz w:val="20"/>
          <w:szCs w:val="20"/>
          <w:lang w:eastAsia="ru-RU"/>
        </w:rPr>
        <w:t>;</w:t>
      </w:r>
    </w:p>
    <w:p w14:paraId="06B5EF94" w14:textId="3834C45C"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 </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lastRenderedPageBreak/>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bookmarkStart w:id="3"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46494CD5" w14:textId="77777777" w:rsidR="004C48EF" w:rsidRDefault="004C48EF" w:rsidP="004C48EF">
            <w:pPr>
              <w:widowControl w:val="0"/>
              <w:spacing w:after="0" w:line="240" w:lineRule="auto"/>
              <w:rPr>
                <w:rFonts w:ascii="Times New Roman" w:hAnsi="Times New Roman"/>
                <w:color w:val="000000"/>
                <w:sz w:val="20"/>
                <w:szCs w:val="20"/>
              </w:rPr>
            </w:pPr>
          </w:p>
          <w:p w14:paraId="70062336" w14:textId="22DE5400" w:rsidR="004C48EF" w:rsidRPr="004C48EF" w:rsidRDefault="004C48EF" w:rsidP="004C48EF">
            <w:pPr>
              <w:widowControl w:val="0"/>
              <w:spacing w:after="0" w:line="240" w:lineRule="auto"/>
              <w:rPr>
                <w:rFonts w:ascii="Times New Roman" w:eastAsia="Times New Roman" w:hAnsi="Times New Roman"/>
                <w:b/>
                <w:sz w:val="20"/>
                <w:szCs w:val="20"/>
                <w:lang w:eastAsia="ru-RU"/>
              </w:rPr>
            </w:pPr>
            <w:r w:rsidRPr="004C48EF">
              <w:rPr>
                <w:rFonts w:ascii="Times New Roman" w:hAnsi="Times New Roman"/>
                <w:color w:val="000000"/>
                <w:sz w:val="20"/>
                <w:szCs w:val="20"/>
              </w:rPr>
              <w:t>МАОУ лицея имени Героя России Веры Волошиной</w:t>
            </w:r>
          </w:p>
          <w:p w14:paraId="3681B220" w14:textId="77777777" w:rsidR="004C48EF" w:rsidRPr="004C48EF" w:rsidRDefault="004C48EF" w:rsidP="004C48EF">
            <w:pPr>
              <w:pStyle w:val="af6"/>
              <w:rPr>
                <w:rFonts w:ascii="Times New Roman" w:hAnsi="Times New Roman" w:cs="Times New Roman"/>
                <w:color w:val="000000"/>
                <w:sz w:val="20"/>
                <w:szCs w:val="20"/>
              </w:rPr>
            </w:pPr>
            <w:r w:rsidRPr="004C48EF">
              <w:rPr>
                <w:rFonts w:ascii="Times New Roman" w:hAnsi="Times New Roman" w:cs="Times New Roman"/>
                <w:color w:val="000000"/>
                <w:sz w:val="20"/>
                <w:szCs w:val="20"/>
              </w:rPr>
              <w:t>УФК по Московской области (МАОУ лицей имени</w:t>
            </w:r>
          </w:p>
          <w:p w14:paraId="40048F75" w14:textId="77777777" w:rsidR="007C6FF6" w:rsidRPr="007C6FF6" w:rsidRDefault="007C6FF6" w:rsidP="007C6FF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t>Получатель Финансовое управление Администрации Наро-Фоминского городского округа (МАОУ лицей имени Героя России Веры Волошиной л/с 31486Z39660)</w:t>
            </w:r>
          </w:p>
          <w:p w14:paraId="0A004B02" w14:textId="77777777" w:rsidR="007C6FF6" w:rsidRPr="007C6FF6" w:rsidRDefault="007C6FF6" w:rsidP="007C6FF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lastRenderedPageBreak/>
              <w:t>Наименование банка: ГУ Банка России по ЦФО//УФК по Московской области, г. Москва</w:t>
            </w:r>
          </w:p>
          <w:p w14:paraId="484A347D" w14:textId="77777777" w:rsidR="007C6FF6" w:rsidRPr="007C6FF6" w:rsidRDefault="007C6FF6" w:rsidP="007C6FF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t>Расчетный счет 40102810845370000004</w:t>
            </w:r>
          </w:p>
          <w:p w14:paraId="61CC720E" w14:textId="77777777" w:rsidR="007C6FF6" w:rsidRPr="007C6FF6" w:rsidRDefault="007C6FF6" w:rsidP="007C6FF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t>БИК 004525987</w:t>
            </w:r>
          </w:p>
          <w:p w14:paraId="7B406A55" w14:textId="77777777" w:rsidR="007C6FF6" w:rsidRPr="007C6FF6" w:rsidRDefault="007C6FF6" w:rsidP="007C6FF6">
            <w:pPr>
              <w:spacing w:before="100" w:beforeAutospacing="1" w:after="100" w:afterAutospacing="1" w:line="240" w:lineRule="auto"/>
              <w:rPr>
                <w:rFonts w:ascii="Times New Roman" w:eastAsia="Times New Roman" w:hAnsi="Times New Roman"/>
                <w:color w:val="000000"/>
                <w:sz w:val="20"/>
                <w:szCs w:val="20"/>
                <w:lang w:eastAsia="ru-RU"/>
              </w:rPr>
            </w:pPr>
            <w:proofErr w:type="spellStart"/>
            <w:r w:rsidRPr="007C6FF6">
              <w:rPr>
                <w:rFonts w:ascii="Times New Roman" w:eastAsia="Times New Roman" w:hAnsi="Times New Roman"/>
                <w:color w:val="000000"/>
                <w:sz w:val="20"/>
                <w:szCs w:val="20"/>
                <w:lang w:eastAsia="ru-RU"/>
              </w:rPr>
              <w:t>Кор.сч</w:t>
            </w:r>
            <w:proofErr w:type="spellEnd"/>
            <w:r w:rsidRPr="007C6FF6">
              <w:rPr>
                <w:rFonts w:ascii="Times New Roman" w:eastAsia="Times New Roman" w:hAnsi="Times New Roman"/>
                <w:color w:val="000000"/>
                <w:sz w:val="20"/>
                <w:szCs w:val="20"/>
                <w:lang w:eastAsia="ru-RU"/>
              </w:rPr>
              <w:t>. 40102810845370000004</w:t>
            </w:r>
          </w:p>
          <w:p w14:paraId="37EA1B14" w14:textId="77777777" w:rsidR="004C48EF" w:rsidRPr="004C48EF" w:rsidRDefault="004C48EF" w:rsidP="004C48EF">
            <w:pPr>
              <w:pStyle w:val="af6"/>
              <w:rPr>
                <w:rFonts w:ascii="Times New Roman" w:hAnsi="Times New Roman" w:cs="Times New Roman"/>
                <w:color w:val="000000"/>
                <w:sz w:val="20"/>
                <w:szCs w:val="20"/>
              </w:rPr>
            </w:pPr>
            <w:r w:rsidRPr="004C48EF">
              <w:rPr>
                <w:rFonts w:ascii="Times New Roman" w:hAnsi="Times New Roman" w:cs="Times New Roman"/>
                <w:color w:val="000000"/>
                <w:sz w:val="20"/>
                <w:szCs w:val="20"/>
              </w:rPr>
              <w:t>ИНН 5030032249</w:t>
            </w:r>
          </w:p>
          <w:p w14:paraId="2B1D9F31" w14:textId="77777777" w:rsidR="004C48EF" w:rsidRPr="004C48EF" w:rsidRDefault="004C48EF" w:rsidP="004C48EF">
            <w:pPr>
              <w:pStyle w:val="af6"/>
              <w:rPr>
                <w:rFonts w:ascii="Times New Roman" w:hAnsi="Times New Roman" w:cs="Times New Roman"/>
                <w:color w:val="000000"/>
                <w:sz w:val="20"/>
                <w:szCs w:val="20"/>
              </w:rPr>
            </w:pPr>
            <w:r w:rsidRPr="004C48EF">
              <w:rPr>
                <w:rFonts w:ascii="Times New Roman" w:hAnsi="Times New Roman" w:cs="Times New Roman"/>
                <w:color w:val="000000"/>
                <w:sz w:val="20"/>
                <w:szCs w:val="20"/>
              </w:rPr>
              <w:t>КПП 503001001</w:t>
            </w:r>
          </w:p>
          <w:p w14:paraId="33B646AE"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p>
          <w:p w14:paraId="72C24611" w14:textId="77777777" w:rsidR="005543F8" w:rsidRDefault="005543F8" w:rsidP="005543F8">
            <w:pPr>
              <w:pStyle w:val="ConsPlusNonformat"/>
              <w:rPr>
                <w:rFonts w:ascii="Times New Roman" w:hAnsi="Times New Roman" w:cs="Times New Roman"/>
                <w:b/>
                <w:bCs/>
                <w:sz w:val="22"/>
                <w:szCs w:val="22"/>
              </w:rPr>
            </w:pPr>
          </w:p>
          <w:p w14:paraId="2206F79C" w14:textId="643C27AE" w:rsidR="005543F8" w:rsidRDefault="004C48EF" w:rsidP="005543F8">
            <w:pPr>
              <w:pStyle w:val="ConsPlusNonformat"/>
              <w:rPr>
                <w:rFonts w:ascii="Times New Roman" w:hAnsi="Times New Roman" w:cs="Times New Roman"/>
                <w:b/>
                <w:bCs/>
                <w:sz w:val="22"/>
                <w:szCs w:val="22"/>
              </w:rPr>
            </w:pPr>
            <w:proofErr w:type="spellStart"/>
            <w:r>
              <w:rPr>
                <w:rFonts w:ascii="Times New Roman" w:hAnsi="Times New Roman" w:cs="Times New Roman"/>
                <w:b/>
                <w:bCs/>
                <w:sz w:val="22"/>
                <w:szCs w:val="22"/>
              </w:rPr>
              <w:t>И.о</w:t>
            </w:r>
            <w:proofErr w:type="spellEnd"/>
            <w:r>
              <w:rPr>
                <w:rFonts w:ascii="Times New Roman" w:hAnsi="Times New Roman" w:cs="Times New Roman"/>
                <w:b/>
                <w:bCs/>
                <w:sz w:val="22"/>
                <w:szCs w:val="22"/>
              </w:rPr>
              <w:t>. д</w:t>
            </w:r>
            <w:r w:rsidR="005543F8">
              <w:rPr>
                <w:rFonts w:ascii="Times New Roman" w:hAnsi="Times New Roman" w:cs="Times New Roman"/>
                <w:b/>
                <w:bCs/>
                <w:sz w:val="22"/>
                <w:szCs w:val="22"/>
              </w:rPr>
              <w:t>иректор</w:t>
            </w:r>
            <w:r>
              <w:rPr>
                <w:rFonts w:ascii="Times New Roman" w:hAnsi="Times New Roman" w:cs="Times New Roman"/>
                <w:b/>
                <w:bCs/>
                <w:sz w:val="22"/>
                <w:szCs w:val="22"/>
              </w:rPr>
              <w:t>а</w:t>
            </w:r>
            <w:r w:rsidR="005543F8">
              <w:rPr>
                <w:rFonts w:ascii="Times New Roman" w:hAnsi="Times New Roman" w:cs="Times New Roman"/>
                <w:b/>
                <w:bCs/>
                <w:sz w:val="22"/>
                <w:szCs w:val="22"/>
              </w:rPr>
              <w:t xml:space="preserve">                                        </w:t>
            </w:r>
          </w:p>
          <w:p w14:paraId="0055D1D9" w14:textId="77777777" w:rsidR="005543F8" w:rsidRDefault="005543F8" w:rsidP="005543F8">
            <w:pPr>
              <w:pStyle w:val="ConsPlusNonformat"/>
              <w:rPr>
                <w:rFonts w:ascii="Times New Roman" w:hAnsi="Times New Roman" w:cs="Times New Roman"/>
                <w:b/>
                <w:bCs/>
                <w:sz w:val="22"/>
                <w:szCs w:val="22"/>
              </w:rPr>
            </w:pPr>
          </w:p>
          <w:p w14:paraId="776031D1"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3"/>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51429DA7" w14:textId="07DDDF6C" w:rsidR="00891F3F" w:rsidRDefault="0072797D" w:rsidP="0072797D">
      <w:pPr>
        <w:tabs>
          <w:tab w:val="left" w:pos="6663"/>
        </w:tabs>
        <w:jc w:val="center"/>
        <w:rPr>
          <w:rFonts w:eastAsia="Times New Roman"/>
        </w:rPr>
      </w:pPr>
      <w:r w:rsidRPr="00773C3F">
        <w:rPr>
          <w:rFonts w:ascii="Times New Roman" w:eastAsia="Arial Unicode MS" w:hAnsi="Times New Roman"/>
          <w:kern w:val="3"/>
          <w:lang w:eastAsia="ru-RU"/>
        </w:rPr>
        <w:t xml:space="preserve">на оказание услуг по </w:t>
      </w:r>
      <w:r w:rsidR="00C53E66">
        <w:rPr>
          <w:rFonts w:ascii="Times New Roman" w:eastAsia="Arial Unicode MS" w:hAnsi="Times New Roman"/>
          <w:kern w:val="3"/>
          <w:lang w:eastAsia="ru-RU"/>
        </w:rPr>
        <w:t xml:space="preserve">организации горячего питания </w:t>
      </w:r>
    </w:p>
    <w:p w14:paraId="03A6FCFE" w14:textId="53F606BD" w:rsidR="00E5654D" w:rsidRDefault="00E5654D" w:rsidP="00E5654D">
      <w:pPr>
        <w:spacing w:after="0" w:line="240" w:lineRule="auto"/>
        <w:rPr>
          <w:rFonts w:ascii="Times New Roman" w:eastAsia="Times New Roman" w:hAnsi="Times New Roman"/>
          <w:sz w:val="20"/>
          <w:szCs w:val="20"/>
          <w:lang w:eastAsia="ru-RU"/>
        </w:rPr>
      </w:pPr>
    </w:p>
    <w:p w14:paraId="206D70C1" w14:textId="2F88895C" w:rsidR="00005CD1" w:rsidRPr="00016BDF"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016BDF">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w:t>
            </w:r>
            <w:proofErr w:type="gramEnd"/>
            <w:r w:rsidRPr="00A125C6">
              <w:rPr>
                <w:rFonts w:ascii="Times New Roman" w:eastAsia="Times New Roman" w:hAnsi="Times New Roman"/>
                <w:sz w:val="20"/>
                <w:szCs w:val="20"/>
                <w:lang w:eastAsia="ru-RU"/>
              </w:rPr>
              <w:t>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77777777" w:rsidR="00D87175" w:rsidRPr="00A81453" w:rsidRDefault="00D87175" w:rsidP="00D87175">
      <w:pPr>
        <w:pStyle w:val="ConsPlusNonformat"/>
        <w:rPr>
          <w:rFonts w:ascii="Times New Roman" w:hAnsi="Times New Roman" w:cs="Times New Roman"/>
          <w:bCs/>
          <w:sz w:val="22"/>
          <w:szCs w:val="22"/>
        </w:rPr>
      </w:pPr>
      <w:r w:rsidRPr="00A81453">
        <w:rPr>
          <w:rFonts w:ascii="Times New Roman" w:hAnsi="Times New Roman" w:cs="Times New Roman"/>
          <w:bCs/>
          <w:sz w:val="22"/>
          <w:szCs w:val="22"/>
        </w:rPr>
        <w:t>Директор</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proofErr w:type="spellStart"/>
      <w:r w:rsidRPr="00A81453">
        <w:rPr>
          <w:rFonts w:ascii="Times New Roman" w:hAnsi="Times New Roman"/>
          <w:bCs/>
        </w:rPr>
        <w:t>М.п</w:t>
      </w:r>
      <w:proofErr w:type="spellEnd"/>
      <w:r w:rsidRPr="00A81453">
        <w:rPr>
          <w:rFonts w:ascii="Times New Roman" w:hAnsi="Times New Roman"/>
          <w:bCs/>
        </w:rPr>
        <w:t>.</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proofErr w:type="spellStart"/>
      <w:r w:rsidRPr="00A81453">
        <w:rPr>
          <w:rFonts w:ascii="Times New Roman" w:hAnsi="Times New Roman"/>
        </w:rPr>
        <w:t>М.п</w:t>
      </w:r>
      <w:proofErr w:type="spellEnd"/>
      <w:r w:rsidRPr="00A81453">
        <w:rPr>
          <w:rFonts w:ascii="Times New Roman" w:hAnsi="Times New Roman"/>
        </w:rPr>
        <w:t>.</w:t>
      </w:r>
    </w:p>
    <w:sectPr w:rsidR="00D87175" w:rsidRPr="00A81453"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2E810" w14:textId="77777777" w:rsidR="00122584" w:rsidRDefault="00122584" w:rsidP="00F66176">
      <w:pPr>
        <w:spacing w:after="0" w:line="240" w:lineRule="auto"/>
      </w:pPr>
      <w:r>
        <w:separator/>
      </w:r>
    </w:p>
  </w:endnote>
  <w:endnote w:type="continuationSeparator" w:id="0">
    <w:p w14:paraId="2D242FE7" w14:textId="77777777" w:rsidR="00122584" w:rsidRDefault="00122584"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AA4C2" w14:textId="77777777" w:rsidR="00122584" w:rsidRDefault="00122584" w:rsidP="00F66176">
      <w:pPr>
        <w:spacing w:after="0" w:line="240" w:lineRule="auto"/>
      </w:pPr>
      <w:r>
        <w:separator/>
      </w:r>
    </w:p>
  </w:footnote>
  <w:footnote w:type="continuationSeparator" w:id="0">
    <w:p w14:paraId="4718DEDA" w14:textId="77777777" w:rsidR="00122584" w:rsidRDefault="00122584"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05CD1"/>
    <w:rsid w:val="00010168"/>
    <w:rsid w:val="00016BDF"/>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22584"/>
    <w:rsid w:val="0013610A"/>
    <w:rsid w:val="00141F9D"/>
    <w:rsid w:val="00175F3F"/>
    <w:rsid w:val="00193D17"/>
    <w:rsid w:val="00195D5F"/>
    <w:rsid w:val="001A37A9"/>
    <w:rsid w:val="001B52C1"/>
    <w:rsid w:val="001D0579"/>
    <w:rsid w:val="00204883"/>
    <w:rsid w:val="00220DC9"/>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3034"/>
    <w:rsid w:val="0049196B"/>
    <w:rsid w:val="004A0F93"/>
    <w:rsid w:val="004B31DF"/>
    <w:rsid w:val="004B3CE9"/>
    <w:rsid w:val="004B491A"/>
    <w:rsid w:val="004C48EF"/>
    <w:rsid w:val="004D5708"/>
    <w:rsid w:val="004E0DD7"/>
    <w:rsid w:val="004E6F91"/>
    <w:rsid w:val="00502B0C"/>
    <w:rsid w:val="0050373C"/>
    <w:rsid w:val="005155B9"/>
    <w:rsid w:val="00524C00"/>
    <w:rsid w:val="00531DF1"/>
    <w:rsid w:val="0055127D"/>
    <w:rsid w:val="005543F8"/>
    <w:rsid w:val="00575B84"/>
    <w:rsid w:val="0057714D"/>
    <w:rsid w:val="00586416"/>
    <w:rsid w:val="0059122B"/>
    <w:rsid w:val="00595043"/>
    <w:rsid w:val="005A2C60"/>
    <w:rsid w:val="005A3D36"/>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736C3"/>
    <w:rsid w:val="006772B6"/>
    <w:rsid w:val="0069354D"/>
    <w:rsid w:val="006B6431"/>
    <w:rsid w:val="006C2EC1"/>
    <w:rsid w:val="006C68F8"/>
    <w:rsid w:val="006C7AAE"/>
    <w:rsid w:val="006E3A10"/>
    <w:rsid w:val="006F15E7"/>
    <w:rsid w:val="006F2484"/>
    <w:rsid w:val="006F47F4"/>
    <w:rsid w:val="006F4A85"/>
    <w:rsid w:val="00701CB6"/>
    <w:rsid w:val="007121E6"/>
    <w:rsid w:val="00716407"/>
    <w:rsid w:val="0072797D"/>
    <w:rsid w:val="007355D7"/>
    <w:rsid w:val="007420E0"/>
    <w:rsid w:val="007436E9"/>
    <w:rsid w:val="00752736"/>
    <w:rsid w:val="0076096D"/>
    <w:rsid w:val="00760C0B"/>
    <w:rsid w:val="007623D6"/>
    <w:rsid w:val="00792303"/>
    <w:rsid w:val="00792FFD"/>
    <w:rsid w:val="00794A81"/>
    <w:rsid w:val="00795D3E"/>
    <w:rsid w:val="00797634"/>
    <w:rsid w:val="007976C9"/>
    <w:rsid w:val="007B101B"/>
    <w:rsid w:val="007C104E"/>
    <w:rsid w:val="007C35DB"/>
    <w:rsid w:val="007C4425"/>
    <w:rsid w:val="007C58C3"/>
    <w:rsid w:val="007C6FF6"/>
    <w:rsid w:val="007C7D82"/>
    <w:rsid w:val="007D5B20"/>
    <w:rsid w:val="008003F0"/>
    <w:rsid w:val="0080656C"/>
    <w:rsid w:val="0081177C"/>
    <w:rsid w:val="00827206"/>
    <w:rsid w:val="00827C03"/>
    <w:rsid w:val="00854874"/>
    <w:rsid w:val="00875FAB"/>
    <w:rsid w:val="00880F18"/>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325F5"/>
    <w:rsid w:val="00941422"/>
    <w:rsid w:val="0096345C"/>
    <w:rsid w:val="00964248"/>
    <w:rsid w:val="00964AE7"/>
    <w:rsid w:val="00970C51"/>
    <w:rsid w:val="00983F81"/>
    <w:rsid w:val="00987094"/>
    <w:rsid w:val="009911BB"/>
    <w:rsid w:val="00992BFA"/>
    <w:rsid w:val="009934A9"/>
    <w:rsid w:val="009C03ED"/>
    <w:rsid w:val="009D35E9"/>
    <w:rsid w:val="009D68A5"/>
    <w:rsid w:val="009E018F"/>
    <w:rsid w:val="009E475E"/>
    <w:rsid w:val="009E6229"/>
    <w:rsid w:val="009F16B1"/>
    <w:rsid w:val="00A52B96"/>
    <w:rsid w:val="00A57262"/>
    <w:rsid w:val="00A66A51"/>
    <w:rsid w:val="00A67934"/>
    <w:rsid w:val="00A74B7C"/>
    <w:rsid w:val="00A767F8"/>
    <w:rsid w:val="00A90E38"/>
    <w:rsid w:val="00A933B3"/>
    <w:rsid w:val="00AA6BC8"/>
    <w:rsid w:val="00AC5B1E"/>
    <w:rsid w:val="00AF3380"/>
    <w:rsid w:val="00AF3651"/>
    <w:rsid w:val="00B07194"/>
    <w:rsid w:val="00B15982"/>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205E2"/>
    <w:rsid w:val="00C270BC"/>
    <w:rsid w:val="00C31BE1"/>
    <w:rsid w:val="00C32A65"/>
    <w:rsid w:val="00C401BB"/>
    <w:rsid w:val="00C472E1"/>
    <w:rsid w:val="00C53E66"/>
    <w:rsid w:val="00C81BAD"/>
    <w:rsid w:val="00C906FD"/>
    <w:rsid w:val="00C92AB2"/>
    <w:rsid w:val="00CA44D8"/>
    <w:rsid w:val="00CB0049"/>
    <w:rsid w:val="00CD70D6"/>
    <w:rsid w:val="00D20B82"/>
    <w:rsid w:val="00D22DB1"/>
    <w:rsid w:val="00D23081"/>
    <w:rsid w:val="00D24DFB"/>
    <w:rsid w:val="00D35A7F"/>
    <w:rsid w:val="00D52FAD"/>
    <w:rsid w:val="00D62154"/>
    <w:rsid w:val="00D63B32"/>
    <w:rsid w:val="00D87175"/>
    <w:rsid w:val="00D95B78"/>
    <w:rsid w:val="00DA30FF"/>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3E2F"/>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5DA4"/>
    <w:rsid w:val="00FC17F1"/>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E2E1BA64-54E8-47DF-B88C-A5BF47A5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19589055">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252813133">
      <w:bodyDiv w:val="1"/>
      <w:marLeft w:val="0"/>
      <w:marRight w:val="0"/>
      <w:marTop w:val="0"/>
      <w:marBottom w:val="0"/>
      <w:divBdr>
        <w:top w:val="none" w:sz="0" w:space="0" w:color="auto"/>
        <w:left w:val="none" w:sz="0" w:space="0" w:color="auto"/>
        <w:bottom w:val="none" w:sz="0" w:space="0" w:color="auto"/>
        <w:right w:val="none" w:sz="0" w:space="0" w:color="auto"/>
      </w:divBdr>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FBA0-91C8-496B-BD8E-3AB217F3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6604</Words>
  <Characters>37647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8</cp:revision>
  <cp:lastPrinted>2020-06-26T09:33:00Z</cp:lastPrinted>
  <dcterms:created xsi:type="dcterms:W3CDTF">2020-10-28T14:11:00Z</dcterms:created>
  <dcterms:modified xsi:type="dcterms:W3CDTF">2020-11-03T06:47:00Z</dcterms:modified>
</cp:coreProperties>
</file>