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01.21.01.05.04.3966</w:t>
            </w:r>
            <w:r w:rsidRPr="002E25F2" w:rsidR="00965BE7">
              <w:rPr>
                <w:b/>
                <w:sz w:val="18"/>
                <w:szCs w:val="18"/>
                <w:lang w:val="en-US"/>
              </w:rPr>
              <w:t xml:space="preserve"> / </w:t>
            </w:r>
            <w:r w:rsidRPr="002E25F2" w:rsidR="00965BE7">
              <w:rPr>
                <w:sz w:val="18"/>
                <w:szCs w:val="18"/>
                <w:lang w:val="en-US"/>
              </w:rPr>
              <w:t>21.20.21.139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Вирус гепатита B нейтрализация поверхностного антигена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Вирус гепатита B нейтрализация поверхностного антигена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01.21.01.05.04.6151</w:t>
            </w:r>
            <w:r w:rsidRPr="002E25F2" w:rsidR="00965BE7">
              <w:rPr>
                <w:b/>
                <w:sz w:val="18"/>
                <w:szCs w:val="18"/>
                <w:lang w:val="en-US"/>
              </w:rPr>
              <w:t xml:space="preserve"> / </w:t>
            </w:r>
            <w:r w:rsidRPr="002E25F2" w:rsidR="00965BE7">
              <w:rPr>
                <w:sz w:val="18"/>
                <w:szCs w:val="18"/>
                <w:lang w:val="en-US"/>
              </w:rPr>
              <w:t>21.10.60.196</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Гломерулярная базальная мембрана антитела (антитела Гудпасчера) ИВД, контрольный материал</w:t>
            </w:r>
            <w:r w:rsidR="00965BE7">
              <w:rPr>
                <w:sz w:val="18"/>
                <w:szCs w:val="18"/>
              </w:rPr>
              <w:t xml:space="preserve"> </w:t>
            </w:r>
            <w:r w:rsidRPr="00652325" w:rsidR="00965BE7">
              <w:rPr>
                <w:sz w:val="18"/>
                <w:szCs w:val="18"/>
              </w:rPr>
              <w:t xml:space="preserve">/ </w:t>
            </w:r>
            <w:r w:rsidRPr="002E25F2" w:rsidR="00965BE7">
              <w:rPr>
                <w:sz w:val="18"/>
                <w:szCs w:val="18"/>
              </w:rPr>
              <w:t>Гломерулярная базальная мембрана антитела (антитела Гудпасчера) ИВД, контрольный материал</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01.71.03.03.02.01.01.476</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Кассета для гистологической обработки/хранения тканей</w:t>
            </w:r>
            <w:r w:rsidR="00965BE7">
              <w:rPr>
                <w:sz w:val="18"/>
                <w:szCs w:val="18"/>
              </w:rPr>
              <w:t xml:space="preserve"> </w:t>
            </w:r>
            <w:r w:rsidRPr="00652325" w:rsidR="00965BE7">
              <w:rPr>
                <w:sz w:val="18"/>
                <w:szCs w:val="18"/>
              </w:rPr>
              <w:t xml:space="preserve">/ </w:t>
            </w:r>
            <w:r w:rsidRPr="002E25F2" w:rsidR="00965BE7">
              <w:rPr>
                <w:sz w:val="18"/>
                <w:szCs w:val="18"/>
              </w:rPr>
              <w:t>Кассета для гистологической обработки/хранения тканей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01.21.01.05.04.10006</w:t>
            </w:r>
            <w:r w:rsidRPr="002E25F2" w:rsidR="00965BE7">
              <w:rPr>
                <w:b/>
                <w:sz w:val="18"/>
                <w:szCs w:val="18"/>
                <w:lang w:val="en-US"/>
              </w:rPr>
              <w:t xml:space="preserve"> / </w:t>
            </w:r>
            <w:r w:rsidRPr="002E25F2" w:rsidR="00965BE7">
              <w:rPr>
                <w:sz w:val="18"/>
                <w:szCs w:val="18"/>
                <w:lang w:val="en-US"/>
              </w:rPr>
              <w:t>20.59.52.199</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Синдром Смита-Магениса ИВД, зонд</w:t>
            </w:r>
            <w:r w:rsidR="00965BE7">
              <w:rPr>
                <w:sz w:val="18"/>
                <w:szCs w:val="18"/>
              </w:rPr>
              <w:t xml:space="preserve"> </w:t>
            </w:r>
            <w:r w:rsidRPr="00652325" w:rsidR="00965BE7">
              <w:rPr>
                <w:sz w:val="18"/>
                <w:szCs w:val="18"/>
              </w:rPr>
              <w:t xml:space="preserve">/ </w:t>
            </w:r>
            <w:r w:rsidRPr="002E25F2" w:rsidR="00965BE7">
              <w:rPr>
                <w:sz w:val="18"/>
                <w:szCs w:val="18"/>
              </w:rPr>
              <w:t>Синдром Смита-Магениса ИВД, зонд</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01.21.01.05.04.10236</w:t>
            </w:r>
            <w:r w:rsidRPr="002E25F2" w:rsidR="00965BE7">
              <w:rPr>
                <w:b/>
                <w:sz w:val="18"/>
                <w:szCs w:val="18"/>
                <w:lang w:val="en-US"/>
              </w:rPr>
              <w:t xml:space="preserve"> / </w:t>
            </w:r>
            <w:r w:rsidRPr="002E25F2" w:rsidR="00965BE7">
              <w:rPr>
                <w:sz w:val="18"/>
                <w:szCs w:val="18"/>
                <w:lang w:val="en-US"/>
              </w:rPr>
              <w:t>21.10.60.196</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Сукцинилацетон ИВД, набор, газовая хроматография</w:t>
            </w:r>
            <w:r w:rsidR="00965BE7">
              <w:rPr>
                <w:sz w:val="18"/>
                <w:szCs w:val="18"/>
              </w:rPr>
              <w:t xml:space="preserve"> </w:t>
            </w:r>
            <w:r w:rsidRPr="00652325" w:rsidR="00965BE7">
              <w:rPr>
                <w:sz w:val="18"/>
                <w:szCs w:val="18"/>
              </w:rPr>
              <w:t xml:space="preserve">/ </w:t>
            </w:r>
            <w:r w:rsidRPr="002E25F2" w:rsidR="00965BE7">
              <w:rPr>
                <w:sz w:val="18"/>
                <w:szCs w:val="18"/>
              </w:rPr>
              <w:t>Сукцинилацетон ИВД, набор, газовая хроматография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расходных материалов для анализатора ABL 800</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99 970,20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164 934,00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164 934,00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164 934,00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22 440,00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39 718,80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47 232,87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47 232,87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47 232,87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47 236,20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8 823,00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298 656,00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11 456,61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12 342,00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65 637,00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175 032,00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175 032,00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32,00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552 921,60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Вирус гепатита B нейтрализация поверхностного антигена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164 934,00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Гломерулярная базальная мембрана антитела (антитела Гудпасчера) ИВД, контрольный материал</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56 548,80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Кассета для гистологической обработки/хранения тканей</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95 145,67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Синдром Смита-Магениса ИВД, зонд</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83 844,00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Сукцинилацетон ИВД, набор, газовая хроматография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36 842,40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расходных материалов для анализатора ABL 800</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расходных материалов для анализатора ABL 800)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расходных материалов для анализатора ABL 800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расходных материалов для анализатора ABL 800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расходных материалов для анализатора ABL 800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расходных материалов для анализатора ABL 800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расходных материалов для анализатора ABL 800</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112044-22</w:t>
    </w:r>
  </w:p>
  <w:p w:rsidR="00A30271" w:rsidRDefault="00A3027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