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«21»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«Обеспечение учебными комплектами для реализации федерального государственного образовательного стандарта дошкольного образования» для нужд МАДОУ Михневский ЦРР</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Семина Елена Ивановна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«Обеспечение учебными комплектами для реализации федерального государственного образовательного стандарта дошкольного образования» для нужд МАДОУ Михневский ЦРР</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соответвствии с документацией;</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206 000 (двести шесть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206 000 рублей 00 копеек</w:t>
              <w:br/>
              <w:t/>
              <w:br/>
              <w:t>ОКПД2: 32.40.20.139 Наборы конструкторские и игрушки для конструирования из прочих материалов прочие, не включенные в другие группировки;</w:t>
              <w:br/>
              <w:t>32.40.20.139 Наборы конструкторские и игрушки для конструирования из прочих материалов прочие, не включенные в другие группировки;</w:t>
              <w:br/>
              <w:t>32.40.20.139 Наборы конструкторские и игрушки для конструирования из прочих материалов прочие, не включенные в другие группировки;</w:t>
              <w:br/>
              <w:t>32.40.20.139 Наборы конструкторские и игрушки для конструирования из прочих материалов прочие, не включенные в другие группировки;</w:t>
              <w:br/>
              <w:t>32.40.20.139 Наборы конструкторские и игрушки для конструирования из прочих материалов прочие, не включенные в другие группировки;</w:t>
              <w:br/>
              <w:t/>
              <w:br/>
              <w:t>ОКВЭД2: 32.40 Производство игр и игрушек;</w:t>
              <w:br/>
              <w:t>32.40 Производство игр и игрушек;</w:t>
              <w:br/>
              <w:t>32.40 Производство игр и игрушек;</w:t>
              <w:br/>
              <w:t>32.40 Производство игр и игрушек;</w:t>
              <w:br/>
              <w:t>32.40 Производство игр и игрушек;</w:t>
              <w:br/>
              <w:t/>
              <w:br/>
              <w:t>Код КОЗ: 01.25.01.01.01 Конструктор динамический;</w:t>
              <w:br/>
              <w:t>01.25.01.01.01 Конструктор динамический;</w:t>
              <w:br/>
              <w:t>01.25.01.01.01 Конструктор динамический;</w:t>
              <w:br/>
              <w:t>01.25.01.01.01 Конструктор динамический;</w:t>
              <w:br/>
              <w:t>01.25.01.01.01 Конструктор динамический;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соответвствии с документацией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июня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«29»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