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0F451" w14:textId="77777777" w:rsidR="005230DC" w:rsidRPr="00A106E4" w:rsidRDefault="005230DC" w:rsidP="00541C8D">
      <w:pPr>
        <w:suppressLineNumbers/>
        <w:suppressAutoHyphens/>
        <w:spacing w:after="0"/>
        <w:jc w:val="center"/>
        <w:outlineLvl w:val="1"/>
        <w:rPr>
          <w:rStyle w:val="1"/>
        </w:rPr>
      </w:pPr>
      <w:r w:rsidRPr="00A106E4">
        <w:rPr>
          <w:rStyle w:val="1"/>
        </w:rPr>
        <w:t>КРИТЕРИИ ОЦЕНКИ ЗАЯВОК НА УЧАСТИЕ В КОНКУРСЕ, ВЕЛИЧИНЫ ЗНАЧИМОСТИ И ПОРЯДОК ОЦЕНКИ</w:t>
      </w:r>
    </w:p>
    <w:p w14:paraId="4D3D31AA" w14:textId="77777777" w:rsidR="005230DC" w:rsidRPr="00A106E4" w:rsidRDefault="005230DC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  <w:bookmarkStart w:id="0" w:name="Par1980"/>
      <w:bookmarkEnd w:id="0"/>
    </w:p>
    <w:p w14:paraId="3FA737AD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</w:p>
    <w:p w14:paraId="2EFC8054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В настоящей документации применяются следующие термины: </w:t>
      </w:r>
    </w:p>
    <w:p w14:paraId="27D3E50B" w14:textId="1468F2A4" w:rsidR="005230DC" w:rsidRPr="00A106E4" w:rsidRDefault="00C22D7A" w:rsidP="00541C8D">
      <w:pPr>
        <w:spacing w:after="0"/>
        <w:ind w:firstLine="567"/>
        <w:rPr>
          <w:rFonts w:eastAsia="Calibri"/>
        </w:rPr>
      </w:pPr>
      <w:r>
        <w:rPr>
          <w:rFonts w:eastAsia="Calibri"/>
        </w:rPr>
        <w:t>«</w:t>
      </w:r>
      <w:r w:rsidR="005230DC" w:rsidRPr="00A106E4">
        <w:rPr>
          <w:rFonts w:eastAsia="Calibri"/>
        </w:rPr>
        <w:t>оценка</w:t>
      </w:r>
      <w:r>
        <w:rPr>
          <w:rFonts w:eastAsia="Calibri"/>
        </w:rPr>
        <w:t>»</w:t>
      </w:r>
      <w:r w:rsidR="005230DC" w:rsidRPr="00A106E4">
        <w:rPr>
          <w:rFonts w:eastAsia="Calibri"/>
        </w:rPr>
        <w:t xml:space="preserve">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закупке, лучших условий исполнения контракта, указанных в заявках (предложениях) участников закупки, которые не были отклонены;</w:t>
      </w:r>
    </w:p>
    <w:p w14:paraId="07069843" w14:textId="0F30CC9A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 </w:t>
      </w:r>
      <w:r w:rsidR="00C22D7A">
        <w:rPr>
          <w:rFonts w:eastAsia="Calibri"/>
        </w:rPr>
        <w:t>«</w:t>
      </w:r>
      <w:r w:rsidRPr="00A106E4">
        <w:rPr>
          <w:rFonts w:eastAsia="Calibri"/>
        </w:rPr>
        <w:t>значимость критерия оценки</w:t>
      </w:r>
      <w:r w:rsidR="00C22D7A">
        <w:rPr>
          <w:rFonts w:eastAsia="Calibri"/>
        </w:rPr>
        <w:t>»</w:t>
      </w:r>
      <w:r w:rsidRPr="00A106E4">
        <w:rPr>
          <w:rFonts w:eastAsia="Calibri"/>
        </w:rPr>
        <w:t xml:space="preserve"> - вес критерия оценки в совокупности критериев оценки, установленных в документации о закупке, выраженный в процентах; </w:t>
      </w:r>
    </w:p>
    <w:p w14:paraId="230BFDD6" w14:textId="0BFCF953" w:rsidR="005230DC" w:rsidRPr="00A106E4" w:rsidRDefault="00C22D7A" w:rsidP="00541C8D">
      <w:pPr>
        <w:spacing w:after="0"/>
        <w:ind w:firstLine="567"/>
        <w:rPr>
          <w:rFonts w:eastAsia="Calibri"/>
        </w:rPr>
      </w:pPr>
      <w:r>
        <w:rPr>
          <w:rFonts w:eastAsia="Calibri"/>
        </w:rPr>
        <w:t>«</w:t>
      </w:r>
      <w:r w:rsidR="005230DC" w:rsidRPr="00A106E4">
        <w:rPr>
          <w:rFonts w:eastAsia="Calibri"/>
        </w:rPr>
        <w:t>коэффициент значимости критерия оценки</w:t>
      </w:r>
      <w:r>
        <w:rPr>
          <w:rFonts w:eastAsia="Calibri"/>
        </w:rPr>
        <w:t>»</w:t>
      </w:r>
      <w:r w:rsidR="005230DC" w:rsidRPr="00A106E4">
        <w:rPr>
          <w:rFonts w:eastAsia="Calibri"/>
        </w:rPr>
        <w:t xml:space="preserve"> - вес критерия оценки в совокупности критериев оценки, установленных в документации о закупке, деленный на 100; </w:t>
      </w:r>
    </w:p>
    <w:p w14:paraId="1E15B6C3" w14:textId="26FA3F05" w:rsidR="005230DC" w:rsidRPr="00A106E4" w:rsidRDefault="00C22D7A" w:rsidP="00541C8D">
      <w:pPr>
        <w:spacing w:after="0"/>
        <w:ind w:firstLine="567"/>
        <w:rPr>
          <w:rFonts w:eastAsia="Calibri"/>
        </w:rPr>
      </w:pPr>
      <w:r>
        <w:rPr>
          <w:rFonts w:eastAsia="Calibri"/>
        </w:rPr>
        <w:t>«</w:t>
      </w:r>
      <w:r w:rsidR="005230DC" w:rsidRPr="00A106E4">
        <w:rPr>
          <w:rFonts w:eastAsia="Calibri"/>
        </w:rPr>
        <w:t>рейтинг заявки (предложения) по критерию оценки</w:t>
      </w:r>
      <w:r>
        <w:rPr>
          <w:rFonts w:eastAsia="Calibri"/>
        </w:rPr>
        <w:t>»</w:t>
      </w:r>
      <w:r w:rsidR="005230DC" w:rsidRPr="00A106E4">
        <w:rPr>
          <w:rFonts w:eastAsia="Calibri"/>
        </w:rPr>
        <w:t xml:space="preserve"> - оценка в баллах, получаемая участником закупки по результатам оценки по критерию оценки с учетом коэффициента значимости критерия оценки.</w:t>
      </w:r>
    </w:p>
    <w:p w14:paraId="42111D46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Сумма величин значимости критериев оценки составляет 100 процентов. Для оценки заявок по каждому критерию оценки используется 100-балльная шкала оценки. </w:t>
      </w:r>
    </w:p>
    <w:p w14:paraId="259CD661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 Итоговый рейтинг заявки вычисляется как сумма рейтингов по каждому критерию оценки заявки.</w:t>
      </w:r>
    </w:p>
    <w:p w14:paraId="0CD919D0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 </w:t>
      </w:r>
    </w:p>
    <w:p w14:paraId="7FBFFA7A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>Для оценки заявок участников закупки заказчик устанавливает следующие критерии:</w:t>
      </w:r>
    </w:p>
    <w:p w14:paraId="02F92A30" w14:textId="77777777" w:rsidR="005230DC" w:rsidRPr="00A106E4" w:rsidRDefault="005230DC" w:rsidP="00541C8D">
      <w:pPr>
        <w:spacing w:after="0"/>
        <w:jc w:val="right"/>
        <w:rPr>
          <w:rFonts w:eastAsia="Arial"/>
        </w:rPr>
      </w:pPr>
      <w:r w:rsidRPr="00A106E4">
        <w:rPr>
          <w:rFonts w:eastAsia="Arial"/>
        </w:rPr>
        <w:t>Таблица 1</w:t>
      </w:r>
    </w:p>
    <w:p w14:paraId="2BD41D53" w14:textId="77777777" w:rsidR="005230DC" w:rsidRPr="00A106E4" w:rsidRDefault="005230DC" w:rsidP="00541C8D">
      <w:pPr>
        <w:spacing w:after="0"/>
        <w:jc w:val="right"/>
        <w:rPr>
          <w:rFonts w:eastAsia="Arial"/>
        </w:rPr>
      </w:pP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833"/>
      </w:tblGrid>
      <w:tr w:rsidR="005230DC" w:rsidRPr="00A106E4" w14:paraId="747586F0" w14:textId="77777777" w:rsidTr="00C34CE5">
        <w:tc>
          <w:tcPr>
            <w:tcW w:w="567" w:type="dxa"/>
            <w:vAlign w:val="center"/>
          </w:tcPr>
          <w:p w14:paraId="0375C13D" w14:textId="77777777" w:rsidR="005230DC" w:rsidRPr="00A106E4" w:rsidRDefault="005230DC" w:rsidP="00541C8D">
            <w:pPr>
              <w:spacing w:after="0"/>
              <w:ind w:left="29"/>
              <w:jc w:val="center"/>
              <w:rPr>
                <w:rFonts w:eastAsia="Arial"/>
                <w:b/>
              </w:rPr>
            </w:pPr>
          </w:p>
        </w:tc>
        <w:tc>
          <w:tcPr>
            <w:tcW w:w="6799" w:type="dxa"/>
            <w:vAlign w:val="center"/>
          </w:tcPr>
          <w:p w14:paraId="57830199" w14:textId="77777777" w:rsidR="005230DC" w:rsidRPr="00A106E4" w:rsidRDefault="005230DC" w:rsidP="00541C8D">
            <w:pPr>
              <w:spacing w:after="0"/>
              <w:ind w:left="29"/>
              <w:jc w:val="center"/>
              <w:rPr>
                <w:rFonts w:eastAsia="Arial"/>
                <w:b/>
              </w:rPr>
            </w:pPr>
            <w:r w:rsidRPr="00A106E4">
              <w:rPr>
                <w:rFonts w:eastAsia="Arial"/>
                <w:b/>
              </w:rPr>
              <w:t>Критерии оценки заявок на участие в конкурсе</w:t>
            </w:r>
          </w:p>
        </w:tc>
        <w:tc>
          <w:tcPr>
            <w:tcW w:w="1833" w:type="dxa"/>
            <w:vAlign w:val="center"/>
          </w:tcPr>
          <w:p w14:paraId="57E12C83" w14:textId="77777777" w:rsidR="005230DC" w:rsidRPr="00A106E4" w:rsidRDefault="005230DC" w:rsidP="00541C8D">
            <w:pPr>
              <w:spacing w:after="0"/>
              <w:ind w:left="29"/>
              <w:jc w:val="center"/>
              <w:rPr>
                <w:rFonts w:eastAsia="Arial"/>
                <w:b/>
              </w:rPr>
            </w:pPr>
            <w:r w:rsidRPr="00A106E4">
              <w:rPr>
                <w:rFonts w:eastAsia="Arial"/>
                <w:b/>
              </w:rPr>
              <w:t>Значимость критерия %</w:t>
            </w:r>
          </w:p>
        </w:tc>
      </w:tr>
      <w:tr w:rsidR="005230DC" w:rsidRPr="00A106E4" w14:paraId="6B3D27AE" w14:textId="77777777" w:rsidTr="00C34CE5">
        <w:tc>
          <w:tcPr>
            <w:tcW w:w="9199" w:type="dxa"/>
            <w:gridSpan w:val="3"/>
            <w:vAlign w:val="center"/>
          </w:tcPr>
          <w:p w14:paraId="5BC68DDC" w14:textId="77777777" w:rsidR="005230DC" w:rsidRPr="00A106E4" w:rsidRDefault="005230DC" w:rsidP="00541C8D">
            <w:pPr>
              <w:spacing w:after="0"/>
              <w:ind w:left="29"/>
              <w:jc w:val="center"/>
              <w:rPr>
                <w:rFonts w:eastAsia="Arial"/>
                <w:b/>
              </w:rPr>
            </w:pPr>
            <w:r w:rsidRPr="00A106E4">
              <w:rPr>
                <w:rFonts w:eastAsia="Calibri"/>
                <w:b/>
              </w:rPr>
              <w:t>СТОИМОСТНЫЕ КРИТЕРИИ</w:t>
            </w:r>
          </w:p>
        </w:tc>
      </w:tr>
      <w:tr w:rsidR="005230DC" w:rsidRPr="00A106E4" w14:paraId="3CE34954" w14:textId="77777777" w:rsidTr="00C34CE5">
        <w:tc>
          <w:tcPr>
            <w:tcW w:w="567" w:type="dxa"/>
            <w:vAlign w:val="center"/>
          </w:tcPr>
          <w:p w14:paraId="24283A98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  <w:r w:rsidRPr="00A106E4">
              <w:rPr>
                <w:rFonts w:eastAsia="Arial"/>
                <w:lang w:val="en-US"/>
              </w:rPr>
              <w:t>1.</w:t>
            </w:r>
          </w:p>
        </w:tc>
        <w:tc>
          <w:tcPr>
            <w:tcW w:w="6799" w:type="dxa"/>
            <w:vAlign w:val="center"/>
          </w:tcPr>
          <w:p w14:paraId="365CA0C7" w14:textId="61C7FC43" w:rsidR="005230DC" w:rsidRPr="000C1795" w:rsidRDefault="005230DC" w:rsidP="000C1795">
            <w:pPr>
              <w:spacing w:after="0"/>
              <w:ind w:left="137"/>
              <w:jc w:val="left"/>
              <w:rPr>
                <w:rFonts w:eastAsia="Arial"/>
              </w:rPr>
            </w:pPr>
            <w:proofErr w:type="spellStart"/>
            <w:r w:rsidRPr="00A106E4">
              <w:rPr>
                <w:rFonts w:eastAsia="Arial"/>
                <w:lang w:val="en-US"/>
              </w:rPr>
              <w:t>Цена</w:t>
            </w:r>
            <w:proofErr w:type="spellEnd"/>
            <w:r w:rsidRPr="00A106E4">
              <w:rPr>
                <w:rFonts w:eastAsia="Arial"/>
                <w:lang w:val="en-US"/>
              </w:rPr>
              <w:t xml:space="preserve"> </w:t>
            </w:r>
            <w:r w:rsidR="000C1795">
              <w:rPr>
                <w:rFonts w:eastAsia="Arial"/>
              </w:rPr>
              <w:t>договора</w:t>
            </w:r>
          </w:p>
        </w:tc>
        <w:tc>
          <w:tcPr>
            <w:tcW w:w="1833" w:type="dxa"/>
            <w:vAlign w:val="center"/>
          </w:tcPr>
          <w:p w14:paraId="1A90B7AE" w14:textId="0D4C4ACD" w:rsidR="005230DC" w:rsidRPr="00A106E4" w:rsidRDefault="009A0C56" w:rsidP="00541C8D">
            <w:pPr>
              <w:spacing w:after="0"/>
              <w:jc w:val="center"/>
              <w:rPr>
                <w:rFonts w:eastAsia="Arial"/>
              </w:rPr>
            </w:pPr>
            <w:r w:rsidRPr="00A106E4">
              <w:rPr>
                <w:rFonts w:eastAsia="Arial"/>
              </w:rPr>
              <w:t>60</w:t>
            </w:r>
          </w:p>
        </w:tc>
      </w:tr>
      <w:tr w:rsidR="005230DC" w:rsidRPr="00A106E4" w14:paraId="4E2040E9" w14:textId="77777777" w:rsidTr="00C34CE5">
        <w:tc>
          <w:tcPr>
            <w:tcW w:w="9199" w:type="dxa"/>
            <w:gridSpan w:val="3"/>
            <w:vAlign w:val="center"/>
          </w:tcPr>
          <w:p w14:paraId="7681016A" w14:textId="39A5DDA0" w:rsidR="005230DC" w:rsidRPr="00A106E4" w:rsidRDefault="0050287D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  <w:r w:rsidRPr="00A106E4">
              <w:rPr>
                <w:rFonts w:eastAsia="Arial"/>
                <w:b/>
              </w:rPr>
              <w:t>НЕ</w:t>
            </w:r>
            <w:r w:rsidR="005230DC" w:rsidRPr="00A106E4">
              <w:rPr>
                <w:rFonts w:eastAsia="Arial"/>
                <w:b/>
              </w:rPr>
              <w:t>СТОИМОСТНЫЕ КРИТЕРИИ</w:t>
            </w:r>
          </w:p>
        </w:tc>
      </w:tr>
      <w:tr w:rsidR="005230DC" w:rsidRPr="00A106E4" w14:paraId="31645277" w14:textId="77777777" w:rsidTr="00C34CE5">
        <w:tc>
          <w:tcPr>
            <w:tcW w:w="567" w:type="dxa"/>
            <w:vAlign w:val="center"/>
          </w:tcPr>
          <w:p w14:paraId="4666F8CB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  <w:r w:rsidRPr="00A106E4">
              <w:rPr>
                <w:rFonts w:eastAsia="Arial"/>
              </w:rPr>
              <w:t>2</w:t>
            </w:r>
            <w:r w:rsidRPr="00A106E4">
              <w:rPr>
                <w:rFonts w:eastAsia="Arial"/>
                <w:lang w:val="en-US"/>
              </w:rPr>
              <w:t>.</w:t>
            </w:r>
          </w:p>
        </w:tc>
        <w:tc>
          <w:tcPr>
            <w:tcW w:w="6799" w:type="dxa"/>
            <w:vAlign w:val="center"/>
          </w:tcPr>
          <w:p w14:paraId="77636EE4" w14:textId="77777777" w:rsidR="005230DC" w:rsidRPr="00A106E4" w:rsidRDefault="005230DC" w:rsidP="00541C8D">
            <w:pPr>
              <w:spacing w:after="0"/>
              <w:ind w:left="137" w:right="141"/>
              <w:rPr>
                <w:rFonts w:eastAsia="Arial"/>
                <w:i/>
              </w:rPr>
            </w:pPr>
            <w:r w:rsidRPr="00A106E4">
              <w:rPr>
                <w:rFonts w:eastAsia="Arial"/>
              </w:rPr>
              <w:t>Квалификация участников закупки, в том числе,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государственного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833" w:type="dxa"/>
            <w:vAlign w:val="center"/>
          </w:tcPr>
          <w:p w14:paraId="3CA2174A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  <w:r w:rsidRPr="00A106E4">
              <w:rPr>
                <w:rFonts w:eastAsia="Arial"/>
              </w:rPr>
              <w:t>40</w:t>
            </w:r>
          </w:p>
        </w:tc>
      </w:tr>
      <w:tr w:rsidR="005230DC" w:rsidRPr="00A106E4" w14:paraId="4DDC26D0" w14:textId="77777777" w:rsidTr="00C34CE5">
        <w:tc>
          <w:tcPr>
            <w:tcW w:w="567" w:type="dxa"/>
            <w:vAlign w:val="center"/>
          </w:tcPr>
          <w:p w14:paraId="70BC7E3D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6799" w:type="dxa"/>
            <w:vAlign w:val="center"/>
          </w:tcPr>
          <w:p w14:paraId="0A43D04B" w14:textId="77777777" w:rsidR="005230DC" w:rsidRPr="00A106E4" w:rsidRDefault="005230DC" w:rsidP="00541C8D">
            <w:pPr>
              <w:spacing w:after="0"/>
              <w:ind w:left="137" w:right="141"/>
              <w:rPr>
                <w:rFonts w:eastAsia="Arial"/>
              </w:rPr>
            </w:pPr>
            <w:r w:rsidRPr="00A106E4">
              <w:rPr>
                <w:rFonts w:eastAsia="Arial"/>
              </w:rPr>
              <w:t>ИТОГО</w:t>
            </w:r>
          </w:p>
        </w:tc>
        <w:tc>
          <w:tcPr>
            <w:tcW w:w="1833" w:type="dxa"/>
            <w:vAlign w:val="center"/>
          </w:tcPr>
          <w:p w14:paraId="669A7089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</w:rPr>
            </w:pPr>
            <w:r w:rsidRPr="00A106E4">
              <w:rPr>
                <w:rFonts w:eastAsia="Arial"/>
              </w:rPr>
              <w:t>100%</w:t>
            </w:r>
          </w:p>
        </w:tc>
      </w:tr>
    </w:tbl>
    <w:p w14:paraId="11C9DABF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rPr>
          <w:rFonts w:eastAsia="Calibri"/>
          <w:b/>
        </w:rPr>
      </w:pPr>
    </w:p>
    <w:p w14:paraId="07D99B6B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</w:p>
    <w:p w14:paraId="422C1D08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</w:p>
    <w:p w14:paraId="3162887C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  <w:r w:rsidRPr="00A106E4">
        <w:rPr>
          <w:rFonts w:eastAsia="Calibri"/>
          <w:b/>
        </w:rPr>
        <w:t>СТОИМОСТНЫЕ КРИТЕРИИ</w:t>
      </w:r>
    </w:p>
    <w:p w14:paraId="2C1AC8F3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jc w:val="left"/>
        <w:rPr>
          <w:rFonts w:eastAsia="Calibri"/>
          <w:b/>
        </w:rPr>
      </w:pPr>
    </w:p>
    <w:p w14:paraId="1A9BEC32" w14:textId="77075817" w:rsidR="005230DC" w:rsidRPr="00A106E4" w:rsidRDefault="005230DC" w:rsidP="00541C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left"/>
        <w:rPr>
          <w:rFonts w:eastAsia="Calibri"/>
          <w:b/>
        </w:rPr>
      </w:pPr>
      <w:r w:rsidRPr="00A106E4">
        <w:rPr>
          <w:rFonts w:eastAsia="Calibri"/>
          <w:b/>
        </w:rPr>
        <w:t xml:space="preserve">Оценка заявок по критерию </w:t>
      </w:r>
      <w:r w:rsidR="00C22D7A">
        <w:rPr>
          <w:rFonts w:eastAsia="Calibri"/>
          <w:b/>
        </w:rPr>
        <w:t>«</w:t>
      </w:r>
      <w:r w:rsidRPr="00A106E4">
        <w:rPr>
          <w:rFonts w:eastAsia="Calibri"/>
          <w:b/>
        </w:rPr>
        <w:t xml:space="preserve">Цена </w:t>
      </w:r>
      <w:r w:rsidR="000C1795">
        <w:rPr>
          <w:rFonts w:eastAsia="Calibri"/>
          <w:b/>
        </w:rPr>
        <w:t>договора</w:t>
      </w:r>
      <w:r w:rsidR="00C22D7A">
        <w:rPr>
          <w:rFonts w:eastAsia="Calibri"/>
          <w:b/>
        </w:rPr>
        <w:t>»</w:t>
      </w:r>
      <w:r w:rsidRPr="00A106E4">
        <w:rPr>
          <w:rFonts w:eastAsia="Calibri"/>
          <w:b/>
        </w:rPr>
        <w:t>.</w:t>
      </w:r>
    </w:p>
    <w:p w14:paraId="6AC0EC70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rPr>
          <w:rFonts w:eastAsia="Calibri"/>
          <w:b/>
        </w:rPr>
      </w:pPr>
    </w:p>
    <w:p w14:paraId="063B8053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b/>
        </w:rPr>
      </w:pPr>
      <w:r w:rsidRPr="00A106E4">
        <w:rPr>
          <w:rFonts w:eastAsia="Calibri"/>
          <w:b/>
        </w:rPr>
        <w:t>Значимость критерия – 60%, коэффициент значимости критерия – 0,6.</w:t>
      </w:r>
    </w:p>
    <w:p w14:paraId="33B69864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b/>
        </w:rPr>
      </w:pPr>
    </w:p>
    <w:p w14:paraId="7F00FC8E" w14:textId="0DF4A265" w:rsidR="005230DC" w:rsidRPr="00A106E4" w:rsidRDefault="005230DC" w:rsidP="00541C8D">
      <w:pPr>
        <w:widowControl w:val="0"/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1.1. Количество баллов, присуждаемых по критерию оценки </w:t>
      </w:r>
      <w:r w:rsidR="00C22D7A">
        <w:rPr>
          <w:rFonts w:eastAsia="Calibri"/>
        </w:rPr>
        <w:t>«</w:t>
      </w:r>
      <w:r w:rsidRPr="00A106E4">
        <w:rPr>
          <w:rFonts w:eastAsia="Calibri"/>
        </w:rPr>
        <w:t xml:space="preserve">Цена </w:t>
      </w:r>
      <w:r w:rsidR="000C1795">
        <w:rPr>
          <w:rFonts w:eastAsia="Calibri"/>
        </w:rPr>
        <w:t>договора</w:t>
      </w:r>
      <w:bookmarkStart w:id="1" w:name="_GoBack"/>
      <w:bookmarkEnd w:id="1"/>
      <w:proofErr w:type="gramStart"/>
      <w:r w:rsidR="00C22D7A">
        <w:rPr>
          <w:rFonts w:eastAsia="Calibri"/>
        </w:rPr>
        <w:t>»</w:t>
      </w:r>
      <w:r w:rsidRPr="00A106E4">
        <w:rPr>
          <w:rFonts w:eastAsia="Calibri"/>
        </w:rPr>
        <w:t xml:space="preserve"> (</w:t>
      </w:r>
      <w:r w:rsidRPr="00A106E4">
        <w:rPr>
          <w:rFonts w:eastAsia="Calibri"/>
          <w:noProof/>
          <w:position w:val="-12"/>
        </w:rPr>
        <w:drawing>
          <wp:inline distT="0" distB="0" distL="0" distR="0" wp14:anchorId="10B5FF5C" wp14:editId="31122358">
            <wp:extent cx="296545" cy="23685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), </w:t>
      </w:r>
      <w:proofErr w:type="gramEnd"/>
      <w:r w:rsidRPr="00A106E4">
        <w:rPr>
          <w:rFonts w:eastAsia="Calibri"/>
        </w:rPr>
        <w:t>определяется по формуле:</w:t>
      </w:r>
    </w:p>
    <w:p w14:paraId="63E5D7AF" w14:textId="77777777" w:rsidR="005230DC" w:rsidRPr="00A106E4" w:rsidRDefault="005230DC" w:rsidP="00541C8D">
      <w:pPr>
        <w:widowControl w:val="0"/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lastRenderedPageBreak/>
        <w:t>а) в случае если</w:t>
      </w:r>
      <w:r w:rsidRPr="00A106E4">
        <w:rPr>
          <w:rFonts w:eastAsia="Calibri"/>
          <w:noProof/>
          <w:position w:val="-10"/>
        </w:rPr>
        <w:drawing>
          <wp:inline distT="0" distB="0" distL="0" distR="0" wp14:anchorId="1FE2C648" wp14:editId="59DD6D6E">
            <wp:extent cx="584200" cy="220345"/>
            <wp:effectExtent l="0" t="0" r="635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, </w:t>
      </w:r>
      <w:r w:rsidRPr="00A106E4">
        <w:rPr>
          <w:rFonts w:eastAsia="Calibri"/>
          <w:noProof/>
          <w:position w:val="-30"/>
        </w:rPr>
        <w:drawing>
          <wp:inline distT="0" distB="0" distL="0" distR="0" wp14:anchorId="1EBBF46C" wp14:editId="2B9C9672">
            <wp:extent cx="1134745" cy="448945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, где: </w:t>
      </w:r>
      <w:r w:rsidRPr="00A106E4">
        <w:rPr>
          <w:rFonts w:eastAsia="Calibri"/>
          <w:noProof/>
          <w:position w:val="-12"/>
        </w:rPr>
        <w:drawing>
          <wp:inline distT="0" distB="0" distL="0" distR="0" wp14:anchorId="31446AA2" wp14:editId="28BB8CD0">
            <wp:extent cx="194945" cy="2368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- предложение участника закупки, заявка (предложение) которого оценивается; </w:t>
      </w:r>
      <w:r w:rsidRPr="00A106E4">
        <w:rPr>
          <w:rFonts w:eastAsia="Calibri"/>
          <w:noProof/>
          <w:position w:val="-10"/>
        </w:rPr>
        <w:drawing>
          <wp:inline distT="0" distB="0" distL="0" distR="0" wp14:anchorId="3E15D7BC" wp14:editId="67022EC5">
            <wp:extent cx="330200" cy="220345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>- минимальное предложение из предложений по критерию оценки, сделанных участниками закупки;</w:t>
      </w:r>
    </w:p>
    <w:p w14:paraId="03903769" w14:textId="77777777" w:rsidR="005230DC" w:rsidRPr="00A106E4" w:rsidRDefault="005230DC" w:rsidP="00541C8D">
      <w:pPr>
        <w:widowControl w:val="0"/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б) в случае если </w:t>
      </w:r>
      <w:r w:rsidRPr="00A106E4">
        <w:rPr>
          <w:rFonts w:eastAsia="Calibri"/>
          <w:noProof/>
          <w:position w:val="-10"/>
        </w:rPr>
        <w:drawing>
          <wp:inline distT="0" distB="0" distL="0" distR="0" wp14:anchorId="59C935D9" wp14:editId="1723B075">
            <wp:extent cx="575945" cy="2203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, </w:t>
      </w:r>
      <w:r w:rsidRPr="00A106E4">
        <w:rPr>
          <w:rFonts w:eastAsia="Calibri"/>
          <w:noProof/>
          <w:position w:val="-30"/>
        </w:rPr>
        <w:drawing>
          <wp:inline distT="0" distB="0" distL="0" distR="0" wp14:anchorId="4F353E30" wp14:editId="489F8E6E">
            <wp:extent cx="1481455" cy="4489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, где </w:t>
      </w:r>
      <w:r w:rsidRPr="00A106E4">
        <w:rPr>
          <w:rFonts w:eastAsia="Calibri"/>
          <w:noProof/>
          <w:position w:val="-12"/>
        </w:rPr>
        <w:drawing>
          <wp:inline distT="0" distB="0" distL="0" distR="0" wp14:anchorId="2C27E761" wp14:editId="11E450C7">
            <wp:extent cx="338455" cy="23685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>- максимальное предложение из предложений по критерию, сделанных участниками закупки.</w:t>
      </w:r>
    </w:p>
    <w:p w14:paraId="4EAA5AA9" w14:textId="77777777" w:rsidR="005230DC" w:rsidRPr="00A106E4" w:rsidRDefault="005230DC" w:rsidP="00541C8D">
      <w:pPr>
        <w:widowControl w:val="0"/>
        <w:spacing w:after="0"/>
        <w:ind w:firstLine="567"/>
        <w:rPr>
          <w:rFonts w:eastAsia="Calibri"/>
        </w:rPr>
      </w:pPr>
    </w:p>
    <w:p w14:paraId="7864E2FA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b/>
        </w:rPr>
      </w:pPr>
      <w:r w:rsidRPr="00A106E4">
        <w:rPr>
          <w:rFonts w:eastAsia="Calibri"/>
        </w:rPr>
        <w:t>Для расчета рейтинга заявки (предложения) по критерию оценки, баллы, присуждаемые этой заявке, умножаются на соответствующую указанному критерию значимость.</w:t>
      </w:r>
    </w:p>
    <w:p w14:paraId="51648C00" w14:textId="77777777" w:rsidR="005230DC" w:rsidRPr="00A106E4" w:rsidRDefault="005230DC" w:rsidP="00541C8D">
      <w:pPr>
        <w:spacing w:after="0"/>
        <w:ind w:firstLine="567"/>
        <w:jc w:val="left"/>
        <w:rPr>
          <w:rFonts w:eastAsia="Arial"/>
          <w:b/>
        </w:rPr>
      </w:pPr>
    </w:p>
    <w:p w14:paraId="195BCD85" w14:textId="77777777" w:rsidR="005230DC" w:rsidRPr="00A106E4" w:rsidRDefault="005230DC" w:rsidP="00541C8D">
      <w:pPr>
        <w:spacing w:after="0"/>
        <w:ind w:firstLine="567"/>
        <w:jc w:val="left"/>
        <w:rPr>
          <w:rFonts w:eastAsia="Arial"/>
          <w:b/>
        </w:rPr>
      </w:pPr>
    </w:p>
    <w:p w14:paraId="71E821E8" w14:textId="77777777" w:rsidR="005230DC" w:rsidRPr="00A106E4" w:rsidRDefault="005230DC" w:rsidP="00541C8D">
      <w:pPr>
        <w:spacing w:after="0"/>
        <w:jc w:val="center"/>
        <w:rPr>
          <w:rFonts w:eastAsia="Arial"/>
          <w:b/>
        </w:rPr>
      </w:pPr>
      <w:r w:rsidRPr="00A106E4">
        <w:rPr>
          <w:rFonts w:eastAsia="Arial"/>
          <w:b/>
        </w:rPr>
        <w:t>НЕСТОИМОСТНЫЕ КРИТЕРИИ</w:t>
      </w:r>
    </w:p>
    <w:p w14:paraId="7169C321" w14:textId="77777777" w:rsidR="005230DC" w:rsidRPr="00A106E4" w:rsidRDefault="005230DC" w:rsidP="00541C8D">
      <w:pPr>
        <w:spacing w:after="0"/>
        <w:ind w:firstLine="567"/>
        <w:rPr>
          <w:rFonts w:eastAsia="Arial"/>
          <w:b/>
        </w:rPr>
      </w:pPr>
    </w:p>
    <w:p w14:paraId="016FC0F4" w14:textId="324F205E" w:rsidR="005230DC" w:rsidRPr="00395607" w:rsidRDefault="005230DC" w:rsidP="00541C8D">
      <w:pPr>
        <w:spacing w:after="0"/>
        <w:ind w:firstLine="567"/>
        <w:rPr>
          <w:rFonts w:eastAsia="Arial"/>
          <w:b/>
        </w:rPr>
      </w:pPr>
      <w:r w:rsidRPr="00A106E4">
        <w:rPr>
          <w:rFonts w:eastAsia="Arial"/>
          <w:b/>
        </w:rPr>
        <w:t xml:space="preserve">1. Оценка заявок по критерию </w:t>
      </w:r>
      <w:r w:rsidR="00C22D7A">
        <w:rPr>
          <w:rFonts w:eastAsia="Arial"/>
          <w:b/>
        </w:rPr>
        <w:t>«</w:t>
      </w:r>
      <w:r w:rsidRPr="00A106E4">
        <w:rPr>
          <w:rFonts w:eastAsia="Arial"/>
          <w:b/>
        </w:rPr>
        <w:t xml:space="preserve">Квалификация участников закупки, в том числе наличие у них финансовых ресурсов, оборудования и других материальных ресурсов, </w:t>
      </w:r>
      <w:r w:rsidRPr="00395607">
        <w:rPr>
          <w:rFonts w:eastAsia="Arial"/>
          <w:b/>
        </w:rPr>
        <w:t>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="00C22D7A" w:rsidRPr="00395607">
        <w:rPr>
          <w:rFonts w:eastAsia="Arial"/>
          <w:b/>
        </w:rPr>
        <w:t>»</w:t>
      </w:r>
    </w:p>
    <w:p w14:paraId="3749FCC6" w14:textId="77777777" w:rsidR="005230DC" w:rsidRPr="00395607" w:rsidRDefault="005230DC" w:rsidP="00541C8D">
      <w:pPr>
        <w:spacing w:after="0"/>
        <w:ind w:firstLine="567"/>
        <w:rPr>
          <w:rFonts w:eastAsia="Arial"/>
          <w:b/>
        </w:rPr>
      </w:pPr>
      <w:r w:rsidRPr="00395607">
        <w:rPr>
          <w:rFonts w:eastAsia="Arial"/>
          <w:b/>
        </w:rPr>
        <w:tab/>
      </w:r>
    </w:p>
    <w:p w14:paraId="2C73113F" w14:textId="38B0E200" w:rsidR="005230DC" w:rsidRPr="00395607" w:rsidRDefault="005230DC" w:rsidP="00541C8D">
      <w:pPr>
        <w:spacing w:after="0"/>
        <w:ind w:firstLine="567"/>
        <w:rPr>
          <w:rFonts w:eastAsia="Arial"/>
        </w:rPr>
      </w:pPr>
      <w:r w:rsidRPr="00395607">
        <w:rPr>
          <w:rFonts w:eastAsia="Arial"/>
        </w:rPr>
        <w:t xml:space="preserve">Для оценки заявок по критерию </w:t>
      </w:r>
      <w:r w:rsidR="00C22D7A" w:rsidRPr="00395607">
        <w:rPr>
          <w:rFonts w:eastAsia="Arial"/>
        </w:rPr>
        <w:t>«</w:t>
      </w:r>
      <w:r w:rsidRPr="00395607">
        <w:rPr>
          <w:rFonts w:eastAsia="Arial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="00C22D7A" w:rsidRPr="00395607">
        <w:rPr>
          <w:rFonts w:eastAsia="Arial"/>
        </w:rPr>
        <w:t>»</w:t>
      </w:r>
      <w:r w:rsidRPr="00395607">
        <w:rPr>
          <w:rFonts w:eastAsia="Arial"/>
        </w:rPr>
        <w:t xml:space="preserve"> (далее по тексту – </w:t>
      </w:r>
      <w:r w:rsidR="00C22D7A" w:rsidRPr="00395607">
        <w:rPr>
          <w:rFonts w:eastAsia="Arial"/>
        </w:rPr>
        <w:t>«</w:t>
      </w:r>
      <w:r w:rsidRPr="00395607">
        <w:rPr>
          <w:rFonts w:eastAsia="Arial"/>
        </w:rPr>
        <w:t>Квалификация участника</w:t>
      </w:r>
      <w:r w:rsidR="00C22D7A" w:rsidRPr="00395607">
        <w:rPr>
          <w:rFonts w:eastAsia="Arial"/>
        </w:rPr>
        <w:t>»</w:t>
      </w:r>
      <w:r w:rsidRPr="00395607">
        <w:rPr>
          <w:rFonts w:eastAsia="Arial"/>
        </w:rPr>
        <w:t>):</w:t>
      </w:r>
    </w:p>
    <w:p w14:paraId="5569709B" w14:textId="77777777" w:rsidR="005230DC" w:rsidRPr="00395607" w:rsidRDefault="005230DC" w:rsidP="00541C8D">
      <w:pPr>
        <w:spacing w:after="0"/>
        <w:ind w:firstLine="567"/>
        <w:rPr>
          <w:rFonts w:eastAsia="Arial"/>
        </w:rPr>
      </w:pPr>
      <w:r w:rsidRPr="00395607">
        <w:rPr>
          <w:rFonts w:eastAsia="Arial"/>
        </w:rPr>
        <w:t>Значимость критерия – 40 %</w:t>
      </w:r>
    </w:p>
    <w:p w14:paraId="4911D887" w14:textId="77777777" w:rsidR="005230DC" w:rsidRPr="00395607" w:rsidRDefault="005230DC" w:rsidP="00541C8D">
      <w:pPr>
        <w:spacing w:after="0"/>
        <w:ind w:firstLine="567"/>
        <w:rPr>
          <w:rFonts w:eastAsia="Arial"/>
        </w:rPr>
      </w:pPr>
      <w:r w:rsidRPr="00395607">
        <w:rPr>
          <w:rFonts w:eastAsia="Arial"/>
        </w:rPr>
        <w:t>Коэффициент значимости критерия – 0,4</w:t>
      </w:r>
    </w:p>
    <w:p w14:paraId="4CAC944D" w14:textId="77777777" w:rsidR="005230DC" w:rsidRPr="00395607" w:rsidRDefault="005230DC" w:rsidP="00541C8D">
      <w:pPr>
        <w:spacing w:after="0"/>
        <w:ind w:firstLine="567"/>
        <w:rPr>
          <w:rFonts w:eastAsia="Arial"/>
        </w:rPr>
      </w:pPr>
      <w:r w:rsidRPr="00395607">
        <w:rPr>
          <w:rFonts w:eastAsia="Arial"/>
        </w:rPr>
        <w:t>Для оценки установлены следующие подкритерии:</w:t>
      </w:r>
    </w:p>
    <w:p w14:paraId="13C21EF9" w14:textId="77777777" w:rsidR="005230DC" w:rsidRPr="00395607" w:rsidRDefault="005230DC" w:rsidP="00541C8D">
      <w:pPr>
        <w:spacing w:after="0"/>
        <w:rPr>
          <w:sz w:val="21"/>
          <w:szCs w:val="21"/>
        </w:rPr>
      </w:pPr>
    </w:p>
    <w:p w14:paraId="25237A65" w14:textId="42BB204F" w:rsidR="00984030" w:rsidRPr="00395607" w:rsidRDefault="00984030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395607">
        <w:rPr>
          <w:rFonts w:ascii="Times New Roman CYR" w:hAnsi="Times New Roman CYR"/>
          <w:b/>
        </w:rPr>
        <w:t>1)</w:t>
      </w:r>
      <w:r w:rsidRPr="00395607">
        <w:rPr>
          <w:rFonts w:ascii="Times New Roman CYR" w:hAnsi="Times New Roman CYR"/>
        </w:rPr>
        <w:t xml:space="preserve"> </w:t>
      </w:r>
      <w:r w:rsidRPr="00395607">
        <w:rPr>
          <w:rFonts w:ascii="Times New Roman CYR" w:hAnsi="Times New Roman CYR"/>
          <w:b/>
        </w:rPr>
        <w:t>Подкритерий</w:t>
      </w:r>
      <w:r w:rsidRPr="00395607">
        <w:rPr>
          <w:rFonts w:ascii="Times New Roman CYR" w:hAnsi="Times New Roman CYR"/>
        </w:rPr>
        <w:t xml:space="preserve"> </w:t>
      </w:r>
      <w:r w:rsidR="00C22D7A" w:rsidRPr="00395607">
        <w:rPr>
          <w:rFonts w:ascii="Times New Roman CYR" w:hAnsi="Times New Roman CYR"/>
          <w:i/>
        </w:rPr>
        <w:t>«Финансовые ресурсы участника»</w:t>
      </w:r>
      <w:r w:rsidRPr="00395607">
        <w:rPr>
          <w:rFonts w:ascii="Times New Roman CYR" w:hAnsi="Times New Roman CYR"/>
          <w:i/>
        </w:rPr>
        <w:t>.</w:t>
      </w:r>
      <w:r w:rsidRPr="00395607">
        <w:rPr>
          <w:rFonts w:ascii="Times New Roman CYR" w:hAnsi="Times New Roman CYR"/>
        </w:rPr>
        <w:t xml:space="preserve"> </w:t>
      </w:r>
    </w:p>
    <w:p w14:paraId="5D1B42C4" w14:textId="631B32EF" w:rsidR="00984030" w:rsidRPr="00395607" w:rsidRDefault="00984030" w:rsidP="00541C8D">
      <w:pPr>
        <w:spacing w:after="0"/>
        <w:ind w:firstLine="567"/>
      </w:pPr>
      <w:r w:rsidRPr="00395607">
        <w:t xml:space="preserve">Значимость показателя составляет </w:t>
      </w:r>
      <w:r w:rsidR="00541C8D" w:rsidRPr="00395607">
        <w:t>5</w:t>
      </w:r>
      <w:r w:rsidRPr="00395607">
        <w:t>0%</w:t>
      </w:r>
    </w:p>
    <w:p w14:paraId="79DD3D61" w14:textId="698D75D2" w:rsidR="00984030" w:rsidRPr="00395607" w:rsidRDefault="00984030" w:rsidP="00541C8D">
      <w:pPr>
        <w:spacing w:after="0"/>
        <w:ind w:firstLine="567"/>
      </w:pPr>
      <w:r w:rsidRPr="00395607">
        <w:t>Коэффициент значимости критерия – 0,</w:t>
      </w:r>
      <w:r w:rsidR="00541C8D" w:rsidRPr="00395607">
        <w:t>5</w:t>
      </w:r>
    </w:p>
    <w:p w14:paraId="3788ACD2" w14:textId="77777777" w:rsidR="00984030" w:rsidRPr="00395607" w:rsidRDefault="00984030" w:rsidP="00541C8D">
      <w:pPr>
        <w:spacing w:after="0"/>
        <w:ind w:firstLine="567"/>
      </w:pPr>
      <w:r w:rsidRPr="00395607">
        <w:t>Максимальная оценка по подкритерию – 100 баллов.</w:t>
      </w:r>
    </w:p>
    <w:p w14:paraId="7033566E" w14:textId="51CEA6E9" w:rsidR="005230DC" w:rsidRPr="00395607" w:rsidRDefault="00C22D7A" w:rsidP="00541C8D">
      <w:pPr>
        <w:spacing w:after="0"/>
        <w:ind w:firstLine="567"/>
      </w:pPr>
      <w:r w:rsidRPr="00395607">
        <w:t>Содержание: оценивается обеспеченность участника закупки материальными ресурсами, выраженными в размере основных средств участника закупки.</w:t>
      </w:r>
    </w:p>
    <w:p w14:paraId="6AEF8FFF" w14:textId="77777777" w:rsidR="00FF041A" w:rsidRPr="00395607" w:rsidRDefault="00FF041A" w:rsidP="00541C8D">
      <w:pPr>
        <w:spacing w:after="0"/>
        <w:ind w:firstLine="567"/>
        <w:rPr>
          <w:b/>
        </w:rPr>
      </w:pPr>
      <w:r w:rsidRPr="00395607">
        <w:rPr>
          <w:b/>
        </w:rPr>
        <w:t>Порядок оценки заявок по показателю:</w:t>
      </w:r>
    </w:p>
    <w:p w14:paraId="0BF5CA2B" w14:textId="741D8C5C" w:rsidR="00C22D7A" w:rsidRPr="00395607" w:rsidRDefault="00C22D7A" w:rsidP="00541C8D">
      <w:pPr>
        <w:spacing w:after="0"/>
        <w:ind w:firstLine="567"/>
      </w:pPr>
      <w:r w:rsidRPr="00395607">
        <w:t>В качестве подтверждения обеспеченности материальными ресурсами участником предоставляется бухгалтерская (финансовая) отчетность, а именно: в Форме по ОКУД 0710001 «Бухгалтерский баланс» и в Форме по ОКУД 0710002 «Отчет о прибылях и убытках» («Отчет о финансовых результатах»).</w:t>
      </w:r>
    </w:p>
    <w:p w14:paraId="7C87B24B" w14:textId="77777777" w:rsidR="005230DC" w:rsidRPr="00395607" w:rsidRDefault="005230DC" w:rsidP="00541C8D">
      <w:pPr>
        <w:spacing w:after="0"/>
        <w:ind w:firstLine="567"/>
      </w:pPr>
      <w:r w:rsidRPr="00395607">
        <w:t>Количество баллов, присуждаемых по критерию оценки (показателю) (</w:t>
      </w:r>
      <w:proofErr w:type="spellStart"/>
      <w:r w:rsidRPr="00395607">
        <w:t>НЦБi</w:t>
      </w:r>
      <w:proofErr w:type="spellEnd"/>
      <w:r w:rsidRPr="00395607">
        <w:t>), определяется по формуле:</w:t>
      </w:r>
    </w:p>
    <w:p w14:paraId="7CCFDCA8" w14:textId="77777777" w:rsidR="005230DC" w:rsidRPr="00395607" w:rsidRDefault="005230DC" w:rsidP="00541C8D">
      <w:pPr>
        <w:spacing w:after="0"/>
        <w:ind w:firstLine="567"/>
        <w:jc w:val="center"/>
      </w:pPr>
      <w:proofErr w:type="spellStart"/>
      <w:r w:rsidRPr="00395607">
        <w:t>НЦБi</w:t>
      </w:r>
      <w:proofErr w:type="spellEnd"/>
      <w:r w:rsidRPr="00395607">
        <w:t xml:space="preserve"> = КЗ x 100 x (</w:t>
      </w:r>
      <w:proofErr w:type="spellStart"/>
      <w:r w:rsidRPr="00395607">
        <w:t>Кi</w:t>
      </w:r>
      <w:proofErr w:type="spellEnd"/>
      <w:r w:rsidRPr="00395607">
        <w:t xml:space="preserve"> / </w:t>
      </w:r>
      <w:proofErr w:type="spellStart"/>
      <w:r w:rsidRPr="00395607">
        <w:t>Кmax</w:t>
      </w:r>
      <w:proofErr w:type="spellEnd"/>
      <w:r w:rsidRPr="00395607">
        <w:t>),</w:t>
      </w:r>
    </w:p>
    <w:p w14:paraId="4D510B26" w14:textId="77777777" w:rsidR="005230DC" w:rsidRPr="00395607" w:rsidRDefault="005230DC" w:rsidP="00541C8D">
      <w:pPr>
        <w:spacing w:after="0"/>
        <w:ind w:firstLine="567"/>
      </w:pPr>
      <w:r w:rsidRPr="00395607">
        <w:t>где:</w:t>
      </w:r>
    </w:p>
    <w:p w14:paraId="39257CDC" w14:textId="77777777" w:rsidR="005230DC" w:rsidRPr="00395607" w:rsidRDefault="005230DC" w:rsidP="00541C8D">
      <w:pPr>
        <w:spacing w:after="0"/>
        <w:ind w:firstLine="567"/>
      </w:pPr>
      <w:r w:rsidRPr="00395607">
        <w:t>КЗ - коэффициент значимости показателя.</w:t>
      </w:r>
    </w:p>
    <w:p w14:paraId="6E33C568" w14:textId="63D1D0DC" w:rsidR="005230DC" w:rsidRPr="00395607" w:rsidRDefault="005230DC" w:rsidP="00541C8D">
      <w:pPr>
        <w:spacing w:after="0"/>
        <w:ind w:firstLine="567"/>
      </w:pPr>
      <w:r w:rsidRPr="00395607">
        <w:t xml:space="preserve">В случае если используется один показатель, </w:t>
      </w:r>
    </w:p>
    <w:p w14:paraId="53291D8B" w14:textId="77777777" w:rsidR="005230DC" w:rsidRPr="00395607" w:rsidRDefault="005230DC" w:rsidP="00541C8D">
      <w:pPr>
        <w:spacing w:after="0"/>
        <w:ind w:firstLine="567"/>
      </w:pPr>
      <w:proofErr w:type="spellStart"/>
      <w:r w:rsidRPr="00395607">
        <w:t>Кi</w:t>
      </w:r>
      <w:proofErr w:type="spellEnd"/>
      <w:r w:rsidRPr="00395607">
        <w:t xml:space="preserve"> - предложение участника закупки, заявка (предложение) которого оценивается;</w:t>
      </w:r>
    </w:p>
    <w:p w14:paraId="6B5F3396" w14:textId="77777777" w:rsidR="005230DC" w:rsidRPr="00395607" w:rsidRDefault="005230DC" w:rsidP="00541C8D">
      <w:pPr>
        <w:spacing w:after="0"/>
        <w:ind w:firstLine="567"/>
      </w:pPr>
      <w:proofErr w:type="spellStart"/>
      <w:r w:rsidRPr="00395607">
        <w:t>Кmax</w:t>
      </w:r>
      <w:proofErr w:type="spellEnd"/>
      <w:r w:rsidRPr="00395607">
        <w:t xml:space="preserve"> - максимальное предложение из предложений по критерию оценки, сделанных участниками закупки.</w:t>
      </w:r>
    </w:p>
    <w:p w14:paraId="3E4AF661" w14:textId="070C0862" w:rsidR="005230DC" w:rsidRPr="00395607" w:rsidRDefault="00EB7811" w:rsidP="00541C8D">
      <w:pPr>
        <w:spacing w:after="0"/>
        <w:ind w:firstLine="567"/>
        <w:rPr>
          <w:u w:val="single"/>
        </w:rPr>
      </w:pPr>
      <w:r w:rsidRPr="00395607">
        <w:rPr>
          <w:u w:val="single"/>
        </w:rPr>
        <w:lastRenderedPageBreak/>
        <w:t xml:space="preserve">Оцениваются предложения участников, содержащие сведения о показателях выручки за предыдущий финансовый отчетный год – не менее 50 000 000 рублей. </w:t>
      </w:r>
      <w:proofErr w:type="gramStart"/>
      <w:r w:rsidRPr="00395607">
        <w:rPr>
          <w:u w:val="single"/>
        </w:rPr>
        <w:t>Участникам</w:t>
      </w:r>
      <w:proofErr w:type="gramEnd"/>
      <w:r w:rsidRPr="00395607">
        <w:rPr>
          <w:u w:val="single"/>
        </w:rPr>
        <w:t xml:space="preserve"> </w:t>
      </w:r>
      <w:r w:rsidR="00541C8D" w:rsidRPr="00395607">
        <w:rPr>
          <w:u w:val="single"/>
        </w:rPr>
        <w:t>предоставившим бухгалтерскую (финансовую) отчетность</w:t>
      </w:r>
      <w:r w:rsidRPr="00395607">
        <w:rPr>
          <w:u w:val="single"/>
        </w:rPr>
        <w:t>, содержащ</w:t>
      </w:r>
      <w:r w:rsidR="00541C8D" w:rsidRPr="00395607">
        <w:rPr>
          <w:u w:val="single"/>
        </w:rPr>
        <w:t>ую</w:t>
      </w:r>
      <w:r w:rsidRPr="00395607">
        <w:rPr>
          <w:u w:val="single"/>
        </w:rPr>
        <w:t xml:space="preserve"> сведения о показателях менее 50 000 000 рублей </w:t>
      </w:r>
      <w:r w:rsidR="00541C8D" w:rsidRPr="00395607">
        <w:rPr>
          <w:u w:val="single"/>
        </w:rPr>
        <w:t>по данному критерию присваивается 0 баллов.</w:t>
      </w:r>
    </w:p>
    <w:p w14:paraId="04F162B7" w14:textId="086C699F" w:rsidR="00FF041A" w:rsidRPr="00395607" w:rsidRDefault="005230DC" w:rsidP="00541C8D">
      <w:pPr>
        <w:spacing w:after="0"/>
        <w:ind w:firstLine="567"/>
        <w:rPr>
          <w:u w:val="single"/>
        </w:rPr>
      </w:pPr>
      <w:r w:rsidRPr="00395607">
        <w:rPr>
          <w:rFonts w:ascii="Times New Roman CYR" w:hAnsi="Times New Roman CYR"/>
          <w:b/>
        </w:rPr>
        <w:t>2)</w:t>
      </w:r>
      <w:r w:rsidRPr="00395607">
        <w:rPr>
          <w:rFonts w:ascii="Times New Roman CYR" w:hAnsi="Times New Roman CYR"/>
        </w:rPr>
        <w:t xml:space="preserve"> </w:t>
      </w:r>
      <w:r w:rsidR="00FF041A" w:rsidRPr="00395607">
        <w:rPr>
          <w:rFonts w:ascii="Times New Roman CYR" w:hAnsi="Times New Roman CYR"/>
          <w:b/>
        </w:rPr>
        <w:t>Подкритерий</w:t>
      </w:r>
      <w:r w:rsidR="00FF041A" w:rsidRPr="00395607">
        <w:rPr>
          <w:rFonts w:ascii="Times New Roman CYR" w:hAnsi="Times New Roman CYR"/>
        </w:rPr>
        <w:t xml:space="preserve"> </w:t>
      </w:r>
      <w:r w:rsidR="00C22D7A" w:rsidRPr="00395607">
        <w:rPr>
          <w:rFonts w:ascii="Times New Roman CYR" w:hAnsi="Times New Roman CYR"/>
        </w:rPr>
        <w:t>«</w:t>
      </w:r>
      <w:r w:rsidRPr="00395607">
        <w:rPr>
          <w:rFonts w:ascii="Times New Roman CYR" w:hAnsi="Times New Roman CYR"/>
          <w:i/>
        </w:rPr>
        <w:t>Обе</w:t>
      </w:r>
      <w:r w:rsidR="004D7FF0" w:rsidRPr="00395607">
        <w:rPr>
          <w:rFonts w:ascii="Times New Roman CYR" w:hAnsi="Times New Roman CYR"/>
          <w:i/>
        </w:rPr>
        <w:t xml:space="preserve">спеченность трудовыми ресурсами, </w:t>
      </w:r>
      <w:r w:rsidRPr="00395607">
        <w:rPr>
          <w:rFonts w:ascii="Times New Roman CYR" w:hAnsi="Times New Roman CYR"/>
          <w:i/>
        </w:rPr>
        <w:t>предлагаемых для выполнения работ, оказания услуг</w:t>
      </w:r>
      <w:r w:rsidR="00C22D7A" w:rsidRPr="00395607">
        <w:rPr>
          <w:rFonts w:ascii="Times New Roman CYR" w:hAnsi="Times New Roman CYR"/>
          <w:i/>
        </w:rPr>
        <w:t>»</w:t>
      </w:r>
      <w:r w:rsidRPr="00395607">
        <w:rPr>
          <w:rFonts w:ascii="Times New Roman CYR" w:hAnsi="Times New Roman CYR"/>
        </w:rPr>
        <w:t xml:space="preserve">. </w:t>
      </w:r>
      <w:r w:rsidR="004D7FF0" w:rsidRPr="00395607">
        <w:rPr>
          <w:rFonts w:ascii="Times New Roman CYR" w:hAnsi="Times New Roman CYR"/>
        </w:rPr>
        <w:t xml:space="preserve"> </w:t>
      </w:r>
    </w:p>
    <w:p w14:paraId="6E212CB6" w14:textId="77777777" w:rsidR="004D7FF0" w:rsidRPr="00395607" w:rsidRDefault="004D7FF0" w:rsidP="00541C8D">
      <w:pPr>
        <w:spacing w:after="0"/>
        <w:ind w:firstLine="567"/>
        <w:rPr>
          <w:rFonts w:ascii="Times New Roman CYR" w:hAnsi="Times New Roman CYR"/>
        </w:rPr>
      </w:pPr>
    </w:p>
    <w:p w14:paraId="16F71D83" w14:textId="42778BCC" w:rsidR="00FF041A" w:rsidRPr="00395607" w:rsidRDefault="00FF041A" w:rsidP="00541C8D">
      <w:pPr>
        <w:spacing w:after="0"/>
        <w:ind w:firstLine="567"/>
      </w:pPr>
      <w:r w:rsidRPr="00395607">
        <w:t xml:space="preserve">Значимость показателя составляет </w:t>
      </w:r>
      <w:r w:rsidR="00541C8D" w:rsidRPr="00395607">
        <w:t>5</w:t>
      </w:r>
      <w:r w:rsidRPr="00395607">
        <w:t>0%</w:t>
      </w:r>
    </w:p>
    <w:p w14:paraId="2133D779" w14:textId="0F466121" w:rsidR="00FF041A" w:rsidRPr="00395607" w:rsidRDefault="00FF041A" w:rsidP="00541C8D">
      <w:pPr>
        <w:spacing w:after="0"/>
        <w:ind w:firstLine="567"/>
      </w:pPr>
      <w:r w:rsidRPr="00395607">
        <w:t>Коэффициент значимости критерия – 0,</w:t>
      </w:r>
      <w:r w:rsidR="00541C8D" w:rsidRPr="00395607">
        <w:t>5</w:t>
      </w:r>
    </w:p>
    <w:p w14:paraId="5CDE0F3A" w14:textId="77777777" w:rsidR="00FF041A" w:rsidRPr="00395607" w:rsidRDefault="00FF041A" w:rsidP="00541C8D">
      <w:pPr>
        <w:spacing w:after="0"/>
        <w:ind w:firstLine="567"/>
      </w:pPr>
      <w:r w:rsidRPr="00395607">
        <w:t>Максимальная оценка по подкритерию – 100 баллов.</w:t>
      </w:r>
    </w:p>
    <w:p w14:paraId="513ED624" w14:textId="77777777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395607">
        <w:t>Оценивается обеспеченность участника закупки трудовыми ресурсами.</w:t>
      </w:r>
    </w:p>
    <w:p w14:paraId="72AA0575" w14:textId="659B7487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395607">
        <w:rPr>
          <w:rFonts w:ascii="Times New Roman CYR" w:hAnsi="Times New Roman CYR"/>
        </w:rPr>
        <w:t xml:space="preserve">Подтверждением наличия у участника открытого конкурса </w:t>
      </w:r>
      <w:r w:rsidR="00541C8D" w:rsidRPr="00395607">
        <w:rPr>
          <w:rFonts w:ascii="Times New Roman CYR" w:hAnsi="Times New Roman CYR"/>
        </w:rPr>
        <w:t>сотрудников, с которыми заключены трудовые договоры</w:t>
      </w:r>
      <w:r w:rsidRPr="00395607">
        <w:rPr>
          <w:rFonts w:ascii="Times New Roman CYR" w:hAnsi="Times New Roman CYR"/>
        </w:rPr>
        <w:t>, является предоставление участн</w:t>
      </w:r>
      <w:r w:rsidR="00A1266D" w:rsidRPr="00395607">
        <w:rPr>
          <w:rFonts w:ascii="Times New Roman CYR" w:hAnsi="Times New Roman CYR"/>
        </w:rPr>
        <w:t>иком настоящего конкурса</w:t>
      </w:r>
      <w:r w:rsidRPr="00395607">
        <w:rPr>
          <w:rFonts w:ascii="Times New Roman CYR" w:hAnsi="Times New Roman CYR"/>
        </w:rPr>
        <w:t xml:space="preserve"> документ</w:t>
      </w:r>
      <w:r w:rsidR="00CD21FF" w:rsidRPr="00395607">
        <w:rPr>
          <w:rFonts w:ascii="Times New Roman CYR" w:hAnsi="Times New Roman CYR"/>
        </w:rPr>
        <w:t>а</w:t>
      </w:r>
      <w:r w:rsidRPr="00395607">
        <w:rPr>
          <w:rFonts w:ascii="Times New Roman CYR" w:hAnsi="Times New Roman CYR"/>
        </w:rPr>
        <w:t>:</w:t>
      </w:r>
    </w:p>
    <w:p w14:paraId="7FA0464C" w14:textId="56A4BE05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395607">
        <w:rPr>
          <w:rFonts w:ascii="Times New Roman CYR" w:hAnsi="Times New Roman CYR"/>
        </w:rPr>
        <w:t>- копия штатного расписания или выписка из штатного расписания, заверенная печатью (при наличии) и подписью участника настоящего конкурса</w:t>
      </w:r>
      <w:r w:rsidR="00A77E7A" w:rsidRPr="00395607">
        <w:rPr>
          <w:rFonts w:ascii="Times New Roman CYR" w:hAnsi="Times New Roman CYR"/>
        </w:rPr>
        <w:t>;</w:t>
      </w:r>
    </w:p>
    <w:p w14:paraId="52C37B61" w14:textId="77777777" w:rsidR="005230DC" w:rsidRPr="00395607" w:rsidRDefault="005230DC" w:rsidP="00541C8D">
      <w:pPr>
        <w:spacing w:after="0"/>
        <w:ind w:firstLine="567"/>
        <w:rPr>
          <w:szCs w:val="21"/>
        </w:rPr>
      </w:pPr>
    </w:p>
    <w:p w14:paraId="30611F7E" w14:textId="77777777" w:rsidR="005230DC" w:rsidRPr="00395607" w:rsidRDefault="005230DC" w:rsidP="00541C8D">
      <w:pPr>
        <w:spacing w:after="0"/>
        <w:ind w:firstLine="567"/>
        <w:rPr>
          <w:szCs w:val="21"/>
        </w:rPr>
      </w:pPr>
      <w:r w:rsidRPr="00395607">
        <w:rPr>
          <w:szCs w:val="21"/>
        </w:rPr>
        <w:t>Количество баллов, присуждаемых по критерию оценки (показателю) (</w:t>
      </w:r>
      <w:proofErr w:type="spellStart"/>
      <w:r w:rsidRPr="00395607">
        <w:rPr>
          <w:szCs w:val="21"/>
        </w:rPr>
        <w:t>НЦБi</w:t>
      </w:r>
      <w:proofErr w:type="spellEnd"/>
      <w:r w:rsidRPr="00395607">
        <w:rPr>
          <w:szCs w:val="21"/>
        </w:rPr>
        <w:t>), определяется по формуле:</w:t>
      </w:r>
    </w:p>
    <w:p w14:paraId="1901E3CA" w14:textId="77777777" w:rsidR="005230DC" w:rsidRPr="00395607" w:rsidRDefault="005230DC" w:rsidP="00541C8D">
      <w:pPr>
        <w:spacing w:after="0"/>
        <w:ind w:firstLine="567"/>
        <w:jc w:val="center"/>
        <w:rPr>
          <w:szCs w:val="21"/>
        </w:rPr>
      </w:pPr>
      <w:proofErr w:type="spellStart"/>
      <w:r w:rsidRPr="00395607">
        <w:rPr>
          <w:szCs w:val="21"/>
        </w:rPr>
        <w:t>НЦБi</w:t>
      </w:r>
      <w:proofErr w:type="spellEnd"/>
      <w:r w:rsidRPr="00395607">
        <w:rPr>
          <w:szCs w:val="21"/>
        </w:rPr>
        <w:t xml:space="preserve"> = КЗ x 100 x (</w:t>
      </w:r>
      <w:proofErr w:type="spellStart"/>
      <w:r w:rsidRPr="00395607">
        <w:rPr>
          <w:szCs w:val="21"/>
        </w:rPr>
        <w:t>Кi</w:t>
      </w:r>
      <w:proofErr w:type="spellEnd"/>
      <w:r w:rsidRPr="00395607">
        <w:rPr>
          <w:szCs w:val="21"/>
        </w:rPr>
        <w:t xml:space="preserve"> / </w:t>
      </w:r>
      <w:proofErr w:type="spellStart"/>
      <w:r w:rsidRPr="00395607">
        <w:rPr>
          <w:szCs w:val="21"/>
        </w:rPr>
        <w:t>Кmax</w:t>
      </w:r>
      <w:proofErr w:type="spellEnd"/>
      <w:r w:rsidRPr="00395607">
        <w:rPr>
          <w:szCs w:val="21"/>
        </w:rPr>
        <w:t>),</w:t>
      </w:r>
    </w:p>
    <w:p w14:paraId="788C8D01" w14:textId="77777777" w:rsidR="005230DC" w:rsidRPr="00395607" w:rsidRDefault="005230DC" w:rsidP="00541C8D">
      <w:pPr>
        <w:spacing w:after="0"/>
        <w:ind w:firstLine="567"/>
        <w:rPr>
          <w:szCs w:val="21"/>
        </w:rPr>
      </w:pPr>
      <w:r w:rsidRPr="00395607">
        <w:rPr>
          <w:szCs w:val="21"/>
        </w:rPr>
        <w:t>где:</w:t>
      </w:r>
    </w:p>
    <w:p w14:paraId="430A4A49" w14:textId="77777777" w:rsidR="005230DC" w:rsidRPr="00395607" w:rsidRDefault="005230DC" w:rsidP="00541C8D">
      <w:pPr>
        <w:spacing w:after="0"/>
        <w:ind w:firstLine="567"/>
        <w:rPr>
          <w:szCs w:val="21"/>
        </w:rPr>
      </w:pPr>
      <w:r w:rsidRPr="00395607">
        <w:rPr>
          <w:szCs w:val="21"/>
        </w:rPr>
        <w:t>КЗ - коэффициент значимости показателя.</w:t>
      </w:r>
    </w:p>
    <w:p w14:paraId="7CD0B426" w14:textId="411550F7" w:rsidR="005230DC" w:rsidRPr="00395607" w:rsidRDefault="005230DC" w:rsidP="00541C8D">
      <w:pPr>
        <w:spacing w:after="0"/>
        <w:ind w:firstLine="567"/>
        <w:rPr>
          <w:szCs w:val="21"/>
        </w:rPr>
      </w:pPr>
      <w:r w:rsidRPr="00395607">
        <w:rPr>
          <w:szCs w:val="21"/>
        </w:rPr>
        <w:t>В случае если используется один показатель,</w:t>
      </w:r>
    </w:p>
    <w:p w14:paraId="6D9C09A4" w14:textId="77777777" w:rsidR="005230DC" w:rsidRPr="00395607" w:rsidRDefault="005230DC" w:rsidP="00541C8D">
      <w:pPr>
        <w:spacing w:after="0"/>
        <w:ind w:firstLine="567"/>
        <w:rPr>
          <w:szCs w:val="21"/>
        </w:rPr>
      </w:pPr>
      <w:proofErr w:type="spellStart"/>
      <w:r w:rsidRPr="00395607">
        <w:rPr>
          <w:szCs w:val="21"/>
        </w:rPr>
        <w:t>Кi</w:t>
      </w:r>
      <w:proofErr w:type="spellEnd"/>
      <w:r w:rsidRPr="00395607">
        <w:rPr>
          <w:szCs w:val="21"/>
        </w:rPr>
        <w:t xml:space="preserve"> - предложение участника закупки, заявка (предложение) которого оценивается;</w:t>
      </w:r>
    </w:p>
    <w:p w14:paraId="162AD1E4" w14:textId="77777777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  <w:sz w:val="28"/>
        </w:rPr>
      </w:pPr>
      <w:proofErr w:type="spellStart"/>
      <w:r w:rsidRPr="00395607">
        <w:rPr>
          <w:szCs w:val="21"/>
        </w:rPr>
        <w:t>Кmax</w:t>
      </w:r>
      <w:proofErr w:type="spellEnd"/>
      <w:r w:rsidRPr="00395607">
        <w:rPr>
          <w:szCs w:val="21"/>
        </w:rPr>
        <w:t xml:space="preserve"> - максимальное предложение из предложений по критерию оценки</w:t>
      </w:r>
    </w:p>
    <w:p w14:paraId="03C2CE4E" w14:textId="77777777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</w:p>
    <w:p w14:paraId="769874B0" w14:textId="4E846682" w:rsidR="0069772A" w:rsidRPr="00395607" w:rsidRDefault="00541C8D" w:rsidP="00541C8D">
      <w:pPr>
        <w:autoSpaceDE w:val="0"/>
        <w:autoSpaceDN w:val="0"/>
        <w:adjustRightInd w:val="0"/>
        <w:spacing w:after="0"/>
        <w:ind w:firstLine="567"/>
        <w:rPr>
          <w:kern w:val="1"/>
        </w:rPr>
      </w:pPr>
      <w:r w:rsidRPr="00395607">
        <w:rPr>
          <w:rFonts w:ascii="Times New Roman CYR" w:hAnsi="Times New Roman CYR"/>
        </w:rPr>
        <w:t>При заключении контракта с Участником, набравшим максимальное количество баллов по стоимостным и не стоимостным критериям Заказчик вправе запросить документы, подтверждающие наличие в штате Участника сотрудников, количество которых указано в составе конкурсной заявке. При отсутствии подтверждающих документов Заказчик вправе отказаться от подписания Контракта с Участником.</w:t>
      </w:r>
    </w:p>
    <w:p w14:paraId="41C60EB2" w14:textId="77777777" w:rsidR="009B1DE5" w:rsidRPr="00395607" w:rsidRDefault="009B1DE5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</w:p>
    <w:p w14:paraId="0DC091F9" w14:textId="77777777" w:rsidR="00796394" w:rsidRPr="00395607" w:rsidRDefault="00796394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</w:p>
    <w:p w14:paraId="06D9158B" w14:textId="60C310C2" w:rsidR="007737FB" w:rsidRPr="007737FB" w:rsidRDefault="007737FB" w:rsidP="00541C8D">
      <w:pPr>
        <w:spacing w:after="0"/>
        <w:ind w:firstLine="567"/>
        <w:rPr>
          <w:bCs/>
        </w:rPr>
      </w:pPr>
      <w:r w:rsidRPr="00395607">
        <w:rPr>
          <w:rFonts w:eastAsia="Calibri"/>
          <w:lang w:eastAsia="en-US"/>
        </w:rPr>
        <w:t xml:space="preserve">Итоговый рейтинг заявки вычисляется как сумма </w:t>
      </w:r>
      <w:r w:rsidR="002D226D" w:rsidRPr="00395607">
        <w:rPr>
          <w:rFonts w:eastAsia="Calibri"/>
          <w:lang w:eastAsia="en-US"/>
        </w:rPr>
        <w:t>баллов</w:t>
      </w:r>
      <w:r w:rsidRPr="00395607">
        <w:rPr>
          <w:rFonts w:eastAsia="Calibri"/>
          <w:lang w:eastAsia="en-US"/>
        </w:rPr>
        <w:t xml:space="preserve"> по каждому критерию оценки заявки. 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</w:p>
    <w:p w14:paraId="4C94E319" w14:textId="77777777" w:rsidR="007737FB" w:rsidRDefault="007737FB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</w:p>
    <w:p w14:paraId="06CE2475" w14:textId="77777777" w:rsidR="00294A15" w:rsidRPr="005332C9" w:rsidRDefault="00294A15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</w:p>
    <w:sectPr w:rsidR="00294A15" w:rsidRPr="005332C9" w:rsidSect="0054470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3168"/>
    <w:multiLevelType w:val="hybridMultilevel"/>
    <w:tmpl w:val="08F85B26"/>
    <w:lvl w:ilvl="0" w:tplc="52C81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657735"/>
    <w:multiLevelType w:val="hybridMultilevel"/>
    <w:tmpl w:val="3BD81E44"/>
    <w:lvl w:ilvl="0" w:tplc="FF32C3B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90"/>
    <w:rsid w:val="00086A89"/>
    <w:rsid w:val="000B1F53"/>
    <w:rsid w:val="000C1795"/>
    <w:rsid w:val="000D2213"/>
    <w:rsid w:val="000D3EC1"/>
    <w:rsid w:val="000F27BB"/>
    <w:rsid w:val="001150CD"/>
    <w:rsid w:val="00124E34"/>
    <w:rsid w:val="00146CF6"/>
    <w:rsid w:val="00152DBE"/>
    <w:rsid w:val="00195A97"/>
    <w:rsid w:val="0020766C"/>
    <w:rsid w:val="00276116"/>
    <w:rsid w:val="00294A15"/>
    <w:rsid w:val="002A4126"/>
    <w:rsid w:val="002D226D"/>
    <w:rsid w:val="003023CD"/>
    <w:rsid w:val="0034417C"/>
    <w:rsid w:val="00395607"/>
    <w:rsid w:val="00416790"/>
    <w:rsid w:val="00427B27"/>
    <w:rsid w:val="0043145C"/>
    <w:rsid w:val="004D2F91"/>
    <w:rsid w:val="004D7FF0"/>
    <w:rsid w:val="004E42A0"/>
    <w:rsid w:val="004F7016"/>
    <w:rsid w:val="0050287D"/>
    <w:rsid w:val="005230DC"/>
    <w:rsid w:val="005332C9"/>
    <w:rsid w:val="00541C8D"/>
    <w:rsid w:val="00544704"/>
    <w:rsid w:val="00546A4C"/>
    <w:rsid w:val="00694F27"/>
    <w:rsid w:val="0069772A"/>
    <w:rsid w:val="006A37F9"/>
    <w:rsid w:val="00716F05"/>
    <w:rsid w:val="007737FB"/>
    <w:rsid w:val="00796394"/>
    <w:rsid w:val="007A6330"/>
    <w:rsid w:val="00803482"/>
    <w:rsid w:val="00856E9F"/>
    <w:rsid w:val="008964EA"/>
    <w:rsid w:val="008B757A"/>
    <w:rsid w:val="00916913"/>
    <w:rsid w:val="0094326F"/>
    <w:rsid w:val="00984030"/>
    <w:rsid w:val="00987944"/>
    <w:rsid w:val="009A0C56"/>
    <w:rsid w:val="009B1DE5"/>
    <w:rsid w:val="009D2B16"/>
    <w:rsid w:val="00A05A69"/>
    <w:rsid w:val="00A106E4"/>
    <w:rsid w:val="00A1266D"/>
    <w:rsid w:val="00A160E1"/>
    <w:rsid w:val="00A54316"/>
    <w:rsid w:val="00A77E7A"/>
    <w:rsid w:val="00AA2577"/>
    <w:rsid w:val="00B930F0"/>
    <w:rsid w:val="00BA67D8"/>
    <w:rsid w:val="00BD76C5"/>
    <w:rsid w:val="00C14042"/>
    <w:rsid w:val="00C1479B"/>
    <w:rsid w:val="00C22D7A"/>
    <w:rsid w:val="00C34CE5"/>
    <w:rsid w:val="00C910AB"/>
    <w:rsid w:val="00CD21FF"/>
    <w:rsid w:val="00D10F71"/>
    <w:rsid w:val="00D139EC"/>
    <w:rsid w:val="00D36027"/>
    <w:rsid w:val="00D83478"/>
    <w:rsid w:val="00DB2A04"/>
    <w:rsid w:val="00DE1144"/>
    <w:rsid w:val="00E04362"/>
    <w:rsid w:val="00E41A1F"/>
    <w:rsid w:val="00E43E49"/>
    <w:rsid w:val="00E95D43"/>
    <w:rsid w:val="00EB7811"/>
    <w:rsid w:val="00EC2C72"/>
    <w:rsid w:val="00F13D18"/>
    <w:rsid w:val="00F433B6"/>
    <w:rsid w:val="00FC0921"/>
    <w:rsid w:val="00FD3810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2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aliases w:val="Document Header1 Знак"/>
    <w:basedOn w:val="a0"/>
    <w:rsid w:val="005230DC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styleId="a3">
    <w:name w:val="Hyperlink"/>
    <w:basedOn w:val="a0"/>
    <w:uiPriority w:val="99"/>
    <w:unhideWhenUsed/>
    <w:rsid w:val="002A412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B75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757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7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75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75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5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57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13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aliases w:val="Document Header1 Знак"/>
    <w:basedOn w:val="a0"/>
    <w:rsid w:val="005230DC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styleId="a3">
    <w:name w:val="Hyperlink"/>
    <w:basedOn w:val="a0"/>
    <w:uiPriority w:val="99"/>
    <w:unhideWhenUsed/>
    <w:rsid w:val="002A412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B75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757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7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75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75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5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57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1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9C78-860A-461E-9451-70564DC4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Дамир Маратович</dc:creator>
  <cp:keywords/>
  <dc:description>exif_MSED_3ce158231355ff3c73ee391182fc2324e08028871b9ab1c1d47080f5fe601904</dc:description>
  <cp:lastModifiedBy>Лида</cp:lastModifiedBy>
  <cp:revision>4</cp:revision>
  <cp:lastPrinted>2020-02-20T09:03:00Z</cp:lastPrinted>
  <dcterms:created xsi:type="dcterms:W3CDTF">2021-07-08T14:14:00Z</dcterms:created>
  <dcterms:modified xsi:type="dcterms:W3CDTF">2021-07-09T09:05:00Z</dcterms:modified>
</cp:coreProperties>
</file>