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116473-22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(Иммуноглобулин человека нормальный)</w:t>
      </w:r>
    </w:p>
    <w:p w:rsidR="007C3BF1" w:rsidRDefault="0068700B">
      <w:pPr>
        <w:ind w:left="1418"/>
      </w:pPr>
      <w:r w:rsidR="008C2287">
        <w:t xml:space="preserve">Цена </w:t>
      </w:r>
      <w:r w:rsidR="008C2287">
        <w:t>договора</w:t>
      </w:r>
      <w:r w:rsidR="008C2287">
        <w:t>, руб.:</w:t>
      </w:r>
      <w:r w:rsidR="001406FC">
        <w:t xml:space="preserve"> </w:t>
      </w:r>
      <w:r w:rsidR="008C2287">
        <w:t>429 330,72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01.21.02.07.05.02.01.01.01.01</w:t>
            </w:r>
            <w:r w:rsidRPr="00C15977" w:rsidR="00872EF1">
              <w:rPr>
                <w:b/>
                <w:lang w:val="en-US"/>
              </w:rPr>
              <w:t xml:space="preserve"> / </w:t>
            </w:r>
            <w:r w:rsidRPr="00C15977" w:rsidR="00872EF1">
              <w:rPr>
                <w:lang w:val="en-US"/>
              </w:rPr>
              <w:t>21.20.21.110</w:t>
            </w:r>
          </w:p>
        </w:tc>
        <w:tc>
          <w:tcPr>
            <w:tcW w:w="3003" w:type="dxa"/>
            <w:shd w:val="clear" w:color="auto" w:fill="auto"/>
          </w:tcPr>
          <w:p w:rsidR="007C3BF1" w:rsidRDefault="0068700B">
            <w:pPr>
              <w:pStyle w:val="a8"/>
            </w:pPr>
            <w:r w:rsidR="008C2287">
              <w:t>ИММУНОГЛОБУЛИН ЧЕЛОВЕКА НОРМАЛЬНЫЙ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ИММУНОГЛОБУЛИН ЧЕЛОВЕКА НОРМАЛЬНЫЙ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