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Хамракулов Рустам Салихович</w:t>
        <w:br/>
        <w:t>Диретор</w:t>
        <w:br/>
        <w:t>Автономное учреждение "Центр отдыха и оздоровления "Изумрудный" Шатурского муниципального района Московской области"</w:t>
        <w:br/>
        <w:t>«16» апреля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Поставку бензина АИ-92</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Автономное учреждение "Центр отдыха и оздоровления "Изумрудный" Шатурского муниципального района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140765 ,Московская область ,Шатурский район, п. Санатория Белое Озеро</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140765 ,Московская область ,Шатурский район, п. Санатория Белое Озеро</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izumrudnij-mou@yandex.ru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7-496-4569468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Хамракулов Рустам Салихович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бензина АИ-92</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На АЗС Поставщика, в соответствии с частью  X.ТЕХНИЧЕСКАЯ ЧАСТЬ ИЗВЕЩЕНИЯ О ПРОВЕДЕНИИ ЗАПРОСА КОТИРОВОК В ЭЛЕКТРОННОЙ ФОРМЕ;</w:t>
              <w:br/>
              <w:t>Сроки поставки товара: Поставщик должен обеспечить заправку транспортных средств Заказчика ежедневно (круглосуточно) на АЗС Поставщика, в соответствии с частью  X.ТЕХНИЧЕСКАЯ ЧАСТЬ ИЗВЕЩЕНИЯ О ПРОВЕДЕНИИ ЗАПРОСА КОТИРОВОК В ЭЛЕКТРОННОЙ ФОРМЕ;</w:t>
              <w:br/>
              <w:t>Условия поставки товара: Поставка нефтепродуктов производится путем выборки нефтепродуктов на АЗС поставщика заказчиком через топливораздаточные колонки в бензобаки автотранспорта заказчика, в соответствии с частью  X.ТЕХНИЧЕСКАЯ ЧАСТЬ ИЗВЕЩЕНИЯ О ПРОВЕДЕНИИ ЗАПРОСА КОТИРОВОК В ЭЛЕКТРОННОЙ ФОРМЕ</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55 236 (пятьдесят пять тысяч двести тридцать шесть)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016-0000-0000000000-244, 55 236 рублей 00 копеек</w:t>
              <w:br/>
              <w:t/>
              <w:br/>
              <w:t>ОКПД2: 19.20.21.125 Бензин автомобильный с октановым числом более 92, но не более 95 по исследовательскому методу экологического класса К5;</w:t>
              <w:br/>
              <w:t/>
              <w:br/>
              <w:t>ОКВЭД2: 19.20 Производство нефтепродуктов;</w:t>
              <w:br/>
              <w:t/>
              <w:br/>
              <w:t>Код КОЗ: 01.08.01.03.04.02 Бензин автомобильный АИ-92 экологического класса не ниже К5 (розничная реализация);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условиями проекта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согласно Раздела 5, настоящего Типового Положения по закупкам.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Отсутствие указания страны происхождения товаров в составе заявки не является основанием для отклонения такой заявки в участии в закупке.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 а именно: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апреля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«26» апреля 2021 в 11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«26»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«26»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