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Оказание услуг по техническому обслуживанию и аварийному ремонту технологического оборудования  во втором полугодии 2022 года</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7BDAFE5C" w:rsidR="000E0847" w:rsidRPr="0073212F" w:rsidRDefault="000E0847" w:rsidP="00AE1964">
      <w:pPr>
        <w:pStyle w:val="a1"/>
      </w:pPr>
      <w:r w:rsidRPr="0073212F">
        <w:t xml:space="preserve">Исполнитель</w:t>
      </w:r>
      <w:proofErr w:type="spellStart"/>
      <w:r w:rsidRPr="0073212F">
        <w:t/>
      </w:r>
      <w:proofErr w:type="spellEnd"/>
      <w:r w:rsidRPr="0073212F">
        <w:t xml:space="preserve"> обязуется оказать </w:t>
      </w:r>
      <w:r w:rsidR="00DE5EC8" w:rsidRPr="0073212F">
        <w:rPr>
          <w:lang w:eastAsia="en-US"/>
        </w:rPr>
        <w:t xml:space="preserve">Заказчику</w:t>
      </w:r>
      <w:proofErr w:type="spellStart"/>
      <w:r w:rsidR="00DE5EC8" w:rsidRPr="0073212F">
        <w:rPr>
          <w:lang w:eastAsia="en-US"/>
        </w:rPr>
        <w:t/>
      </w:r>
      <w:proofErr w:type="spellEnd"/>
      <w:r w:rsidR="00DE5EC8" w:rsidRPr="0073212F">
        <w:rPr>
          <w:lang w:eastAsia="en-US"/>
        </w:rPr>
        <w:t/>
      </w:r>
      <w:proofErr w:type="spellStart"/>
      <w:r w:rsidR="00DE5EC8">
        <w:rPr>
          <w:lang w:val="en-US" w:eastAsia="en-US"/>
        </w:rPr>
        <w:t/>
      </w:r>
      <w:proofErr w:type="spellEnd"/>
      <w:r w:rsidR="00DE5EC8" w:rsidRPr="0073212F">
        <w:rPr>
          <w:lang w:eastAsia="en-US"/>
        </w:rPr>
        <w:t/>
      </w:r>
      <w:proofErr w:type="spellStart"/>
      <w:r w:rsidR="00DE5EC8" w:rsidRPr="0073212F">
        <w:rPr>
          <w:lang w:eastAsia="en-US"/>
        </w:rPr>
        <w:t/>
      </w:r>
      <w:proofErr w:type="spellEnd"/>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эти услуги в соответствии с условиями Договора</w:t>
      </w:r>
      <w:proofErr w:type="spellStart"/>
      <w:r w:rsidRPr="0073212F">
        <w:t/>
      </w:r>
      <w:proofErr w:type="spellEnd"/>
      <w:r w:rsidRPr="0073212F">
        <w:t xml:space="preserve">.</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w:t>
      </w:r>
      <w:proofErr w:type="spellStart"/>
      <w:r w:rsidRPr="0073212F">
        <w:t/>
      </w:r>
      <w:proofErr w:type="spellEnd"/>
      <w:r w:rsidRPr="0073212F">
        <w:t xml:space="preserve"> услуг, а также требования к порядку и способу их оказания Исполнителем</w:t>
      </w:r>
      <w:proofErr w:type="spellStart"/>
      <w:r w:rsidRPr="0073212F">
        <w:t/>
      </w:r>
      <w:proofErr w:type="spellEnd"/>
      <w:r w:rsidRPr="0073212F">
        <w:t xml:space="preserve">, определяются </w:t>
      </w:r>
      <w:r w:rsidR="006A5944" w:rsidRPr="0073212F">
        <w:t xml:space="preserve">Договором</w:t>
      </w:r>
      <w:proofErr w:type="spellStart"/>
      <w:r w:rsidR="006A5944" w:rsidRPr="0073212F">
        <w:t/>
      </w:r>
      <w:proofErr w:type="gramStart"/>
      <w:r w:rsidR="006A5944" w:rsidRPr="0073212F">
        <w:t/>
      </w:r>
      <w:proofErr w:type="spellEnd"/>
      <w:r w:rsidR="006A5944" w:rsidRPr="0073212F">
        <w:t xml:space="preserve"/>
      </w:r>
      <w:r w:rsidRPr="0073212F">
        <w:t xml:space="preserve">, в том числе приложением 5 «Техническое задание» к Договору</w:t>
      </w:r>
      <w:proofErr w:type="gramEnd"/>
      <w:r w:rsidRPr="0073212F">
        <w:t xml:space="preserve">.</w:t>
      </w:r>
    </w:p>
    <w:p w14:paraId="653109E6" w14:textId="05C74A17"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муниципальных образований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Исполнителя</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Исполнителем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xml:space="preserve">, оплате подлежат только фактически оказанные и принятые Заказчиком</w:t>
      </w:r>
      <w:proofErr w:type="spellStart"/>
      <w:r w:rsidRPr="0073212F">
        <w:rPr>
          <w:lang w:eastAsia="en-US"/>
        </w:rPr>
        <w:t/>
      </w:r>
      <w:proofErr w:type="spellEnd"/>
      <w:r w:rsidRPr="0073212F">
        <w:rPr>
          <w:lang w:eastAsia="en-US"/>
        </w:rPr>
        <w:t xml:space="preserve">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w:t>
      </w:r>
      <w:proofErr w:type="spellStart"/>
      <w:r w:rsidRPr="0073212F">
        <w:rPr>
          <w:lang w:eastAsia="en-US"/>
        </w:rPr>
        <w:t/>
      </w:r>
      <w:proofErr w:type="spellEnd"/>
      <w:r w:rsidRPr="0073212F">
        <w:rPr>
          <w:lang w:eastAsia="en-US"/>
        </w:rPr>
        <w:t xml:space="preserve">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w:t>
      </w:r>
      <w:r w:rsidR="00290246" w:rsidRPr="0073212F">
        <w:rPr>
          <w:lang w:eastAsia="en-US"/>
        </w:rPr>
        <w:t xml:space="preserve">Исполнитель</w:t>
      </w:r>
      <w:proofErr w:type="spellStart"/>
      <w:r w:rsidR="00290246" w:rsidRPr="0073212F">
        <w:rPr>
          <w:lang w:eastAsia="en-US"/>
        </w:rPr>
        <w:t/>
      </w:r>
      <w:proofErr w:type="spellEnd"/>
      <w:r w:rsidR="00290246" w:rsidRPr="0073212F">
        <w:rPr>
          <w:lang w:eastAsia="en-US"/>
        </w:rPr>
        <w:t xml:space="preserve">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73212F">
        <w:rPr>
          <w:lang w:eastAsia="en-US"/>
        </w:rPr>
        <w:t/>
      </w:r>
      <w:proofErr w:type="spellEnd"/>
      <w:r w:rsidRPr="0073212F">
        <w:rPr>
          <w:lang w:eastAsia="en-US"/>
        </w:rPr>
        <w:t xml:space="preserve"/>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0A86083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lastRenderedPageBreak/>
        <w:t xml:space="preserve">Для проверки предоставленных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7FE0C027"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14D0C7B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приложением 5 «Техническое задание» к Договору</w:t>
      </w:r>
      <w:proofErr w:type="gramEnd"/>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Исполнителя</w:t>
      </w:r>
      <w:proofErr w:type="spellStart"/>
      <w:r w:rsidRPr="0073212F">
        <w:t/>
      </w:r>
      <w:proofErr w:type="spellEnd"/>
      <w:r w:rsidRPr="0073212F">
        <w:t xml:space="preserve"> информацию </w:t>
      </w:r>
      <w:r w:rsidR="00A00818" w:rsidRPr="0073212F">
        <w:t xml:space="preserve">о ходе исполнения Исполнителем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w:t>
      </w:r>
      <w:proofErr w:type="spellStart"/>
      <w:r w:rsidR="004F604C" w:rsidRPr="0073212F">
        <w:t/>
      </w:r>
      <w:proofErr w:type="spellEnd"/>
      <w:r w:rsidR="004F604C" w:rsidRPr="0073212F">
        <w:t xml:space="preserve"> условий Договора</w:t>
      </w:r>
      <w:proofErr w:type="spellStart"/>
      <w:r w:rsidR="004F604C" w:rsidRPr="0073212F">
        <w:t/>
      </w:r>
      <w:proofErr w:type="spellEnd"/>
      <w:r w:rsidR="004F604C" w:rsidRPr="0073212F">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Исполнителю</w:t>
      </w:r>
      <w:proofErr w:type="spellStart"/>
      <w:r w:rsidRPr="0073212F">
        <w:t/>
      </w:r>
      <w:proofErr w:type="spellEnd"/>
      <w:r w:rsidRPr="0073212F">
        <w:t xml:space="preserve"> о недостатках, обнаруженных в ходе исполнения Исполнителем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w:t>
      </w:r>
      <w:proofErr w:type="spellStart"/>
      <w:r w:rsidRPr="0073212F">
        <w:t/>
      </w:r>
      <w:proofErr w:type="spellEnd"/>
      <w:r w:rsidRPr="0073212F">
        <w:t xml:space="preserve"> информации об изменении реквизитов Исполнителя</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обязан предупредить Заказчика</w:t>
      </w:r>
      <w:proofErr w:type="spellStart"/>
      <w:r w:rsidRPr="0073212F">
        <w:t/>
      </w:r>
      <w:proofErr w:type="spellEnd"/>
      <w:r w:rsidRPr="0073212F">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Pr="0073212F"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оказать услуги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proofErr w:type="spellStart"/>
      <w:r w:rsidR="006A5944" w:rsidRPr="0073212F">
        <w:t/>
      </w:r>
      <w:proofErr w:type="spellEnd"/>
      <w:r w:rsidR="006A5944" w:rsidRPr="0073212F">
        <w:t xml:space="preserve"/>
      </w:r>
      <w:r w:rsidRPr="0073212F">
        <w:t xml:space="preserve"> сроку предоставить Заказчику</w:t>
      </w:r>
      <w:proofErr w:type="spellStart"/>
      <w:r w:rsidRPr="0073212F">
        <w:t/>
      </w:r>
      <w:proofErr w:type="spellEnd"/>
      <w:r w:rsidRPr="0073212F">
        <w:t xml:space="preserve"> результаты исполнения Договора</w:t>
      </w:r>
      <w:proofErr w:type="spellStart"/>
      <w:r w:rsidRPr="0073212F">
        <w:t/>
      </w:r>
      <w:proofErr w:type="spellEnd"/>
      <w:r w:rsidRPr="0073212F">
        <w:t>.</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w:t>
      </w:r>
      <w:r w:rsidRPr="0073212F">
        <w:lastRenderedPageBreak/>
        <w:t xml:space="preserve">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 xml:space="preserve">, рассмотреть их, подписать дополнительное соглашение к </w:t>
      </w:r>
      <w:r w:rsidR="00DE6C3D" w:rsidRPr="0073212F">
        <w:t xml:space="preserve">Договору</w:t>
      </w:r>
      <w:proofErr w:type="spellStart"/>
      <w:r w:rsidR="00DE6C3D" w:rsidRPr="0073212F">
        <w:t/>
      </w:r>
      <w:proofErr w:type="spellEnd"/>
      <w:r w:rsidR="00DE6C3D" w:rsidRPr="0073212F">
        <w:t xml:space="preserve"/>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proofErr w:type="spellStart"/>
      <w:r w:rsidR="00DE6C3D" w:rsidRPr="0073212F">
        <w:t/>
      </w:r>
      <w:proofErr w:type="spellEnd"/>
      <w:r w:rsidR="00DE6C3D" w:rsidRPr="0073212F">
        <w:t xml:space="preserve"/>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proofErr w:type="spellStart"/>
      <w:r w:rsidR="00DE6C3D" w:rsidRPr="0073212F">
        <w:t/>
      </w:r>
      <w:proofErr w:type="spellEnd"/>
      <w:r w:rsidR="00DE6C3D"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цены Договора.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roofErr w:type="spellStart"/>
      <w:r w:rsidRPr="0073212F">
        <w:t/>
      </w:r>
      <w:proofErr w:type="spellEnd"/>
      <w:r w:rsidRPr="0073212F">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Исполнителя</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Исполнителя</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w:t>
      </w:r>
      <w:r w:rsidRPr="0073212F">
        <w:rPr>
          <w:lang w:eastAsia="en-US"/>
        </w:rPr>
        <w:lastRenderedPageBreak/>
        <w:t xml:space="preserve">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proofErr w:type="spellStart"/>
      <w:r w:rsidRPr="0073212F">
        <w:t/>
      </w:r>
      <w:proofErr w:type="spellEnd"/>
      <w:r w:rsidRPr="0073212F">
        <w:t xml:space="preserve"/>
      </w:r>
      <w:r w:rsidRPr="0073212F">
        <w:rPr>
          <w:lang w:eastAsia="en-US"/>
        </w:rPr>
        <w:t xml:space="preserve"> и принятых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Исполнителю</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В случае возникновения любы</w:t>
      </w:r>
      <w:bookmarkStart w:id="5" w:name="_GoBack"/>
      <w:bookmarkEnd w:id="5"/>
      <w:r w:rsidRPr="0073212F">
        <w:rPr>
          <w:lang w:eastAsia="en-US"/>
        </w:rPr>
        <w:t xml:space="preserve">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10 дней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5D0232C8" w:rsidR="009760A3" w:rsidRPr="0073212F"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Исполнителю</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осуществлено путем предоставления банковской гарантии, банковская гарантия должна учитывать новый срок исполн</w:t>
      </w:r>
      <w:r w:rsidR="00CB1C11" w:rsidRPr="0073212F">
        <w:rPr>
          <w:lang w:eastAsia="en-US"/>
        </w:rPr>
        <w:t xml:space="preserve">ения Договора</w:t>
      </w:r>
      <w:proofErr w:type="spellStart"/>
      <w:r w:rsidR="00CB1C11" w:rsidRPr="0073212F">
        <w:rPr>
          <w:lang w:eastAsia="en-US"/>
        </w:rPr>
        <w:t/>
      </w:r>
      <w:proofErr w:type="spellEnd"/>
      <w:r w:rsidR="00CB1C11" w:rsidRPr="0073212F">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proofErr w:type="gramStart"/>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roofErr w:type="spellStart"/>
            <w:r w:rsidRPr="0073212F">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МАДОУ д/с КВ «Росинка»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142290, Российская Федерация, Московская область, г.о. Пущино, г. Пущино, Южная улица, зд. №1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142290, Российская Федерация, Московская область, г.о. Пущино, г. Пущино, Южная улица, зд. №1</w:t>
            </w:r>
            <w:proofErr w:type="spellStart"/>
            <w:r w:rsidRPr="0073212F">
              <w:t/>
            </w:r>
            <w:proofErr w:type="spellEnd"/>
            <w:r w:rsidRPr="0073212F">
              <w:t xml:space="preserve"/>
            </w:r>
          </w:p>
          <w:p w14:paraId="406B476F" w14:textId="77777777" w:rsidR="009942F2" w:rsidRPr="0073212F" w:rsidRDefault="009942F2" w:rsidP="00AD01A5">
            <w:pPr>
              <w:pStyle w:val="a8"/>
            </w:pPr>
            <w:r w:rsidRPr="0073212F">
              <w:t xml:space="preserve">ИНН 5039010553</w:t>
            </w:r>
            <w:proofErr w:type="spellStart"/>
            <w:r w:rsidRPr="0073212F">
              <w:t/>
            </w:r>
            <w:proofErr w:type="spellEnd"/>
            <w:r w:rsidRPr="0073212F">
              <w:t xml:space="preserve"/>
            </w:r>
          </w:p>
          <w:p w14:paraId="6EA0388D" w14:textId="77777777" w:rsidR="009942F2" w:rsidRPr="0073212F" w:rsidRDefault="009942F2" w:rsidP="00AD01A5">
            <w:pPr>
              <w:pStyle w:val="a8"/>
            </w:pPr>
            <w:r w:rsidRPr="0073212F">
              <w:t xml:space="preserve">КПП 503901001</w:t>
            </w:r>
            <w:proofErr w:type="spellStart"/>
            <w:r w:rsidRPr="0073212F">
              <w:t/>
            </w:r>
            <w:proofErr w:type="spellEnd"/>
            <w:r w:rsidRPr="0073212F">
              <w:t xml:space="preserve"/>
            </w:r>
          </w:p>
          <w:p w14:paraId="13A66127" w14:textId="77777777" w:rsidR="009942F2" w:rsidRPr="0073212F" w:rsidRDefault="009942F2" w:rsidP="00AD01A5">
            <w:pPr>
              <w:pStyle w:val="a8"/>
            </w:pPr>
            <w:r w:rsidRPr="0073212F">
              <w:t xml:space="preserve">ОГРН 1135043003171</w:t>
            </w:r>
            <w:proofErr w:type="spellStart"/>
            <w:r w:rsidRPr="0073212F">
              <w:t/>
            </w:r>
            <w:proofErr w:type="spellEnd"/>
            <w:r w:rsidRPr="0073212F">
              <w:t xml:space="preserve"/>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proofErr w:type="spellStart"/>
            <w:r w:rsidRPr="0073212F">
              <w:t/>
            </w:r>
            <w:proofErr w:type="spellEnd"/>
            <w:r w:rsidRPr="0073212F">
              <w:t xml:space="preserve"/>
            </w:r>
          </w:p>
          <w:p w14:paraId="536737C0" w14:textId="77777777" w:rsidR="009942F2" w:rsidRPr="0073212F" w:rsidRDefault="009942F2" w:rsidP="00AD01A5">
            <w:pPr>
              <w:pStyle w:val="a8"/>
            </w:pPr>
            <w:r w:rsidRPr="0073212F">
              <w:t>Место нахождения, адрес</w:t>
            </w:r>
            <w:r w:rsidRPr="0073212F">
              <w:rPr>
                <w:rFonts w:ascii="Roboto" w:hAnsi="Roboto"/>
                <w:color w:val="000000"/>
                <w:sz w:val="21"/>
                <w:szCs w:val="21"/>
              </w:rPr>
              <w:t xml:space="preserve"/>
            </w:r>
            <w:hyperlink r:id="rId10" w:history="1">
              <w:r w:rsidRPr="0073212F">
                <w:rPr>
                  <w:color w:val="000000"/>
                  <w:sz w:val="21"/>
                  <w:szCs w:val="21"/>
                  <w:lang w:val="en-US"/>
                </w:rPr>
                <w:t/>
              </w:r>
            </w:hyperlink>
            <w:r w:rsidRPr="0073212F">
              <w:rPr>
                <w:rFonts w:ascii="Roboto" w:hAnsi="Roboto"/>
                <w:color w:val="000000"/>
                <w:sz w:val="21"/>
                <w:szCs w:val="21"/>
              </w:rPr>
              <w:t xml:space="preserve"/>
            </w:r>
            <w:r w:rsidRPr="0073212F">
              <w:t xml:space="preserve">: ________________</w:t>
            </w:r>
            <w:proofErr w:type="spellStart"/>
            <w:r w:rsidRPr="0073212F">
              <w:t/>
            </w:r>
            <w:proofErr w:type="spellEnd"/>
            <w:r w:rsidRPr="0073212F">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9F234F"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proofErr w:type="spellStart"/>
            <w:r w:rsidRPr="0073212F">
              <w:rPr>
                <w:rFonts w:cstheme="minorHAnsi"/>
                <w:shd w:val="clear" w:color="auto" w:fill="FFFFFF"/>
                <w:lang w:val="en-US"/>
              </w:rPr>
              <w:t/>
            </w:r>
            <w:proofErr w:type="spellEnd"/>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30486Щ13570, </w:t>
            </w:r>
            <w:proofErr w:type="spellStart"/>
            <w:r w:rsidRPr="0073212F">
              <w:rPr>
                <w:lang w:val="en-US" w:eastAsia="en-US"/>
              </w:rPr>
              <w:t/>
            </w:r>
            <w:proofErr w:type="spellEnd"/>
            <w:r w:rsidRPr="0073212F">
              <w:rPr>
                <w:lang w:val="en-US" w:eastAsia="en-US"/>
              </w:rPr>
              <w:t xml:space="preserve"> МАДОУ д/с КВ «Росинка»</w:t>
            </w:r>
            <w:proofErr w:type="spellStart"/>
            <w:r w:rsidRPr="0073212F">
              <w:rPr>
                <w:lang w:val="en-US" w:eastAsia="en-US"/>
              </w:rPr>
              <w:t/>
            </w:r>
            <w:proofErr w:type="spellEnd"/>
            <w:r w:rsidRPr="0073212F">
              <w:rPr>
                <w:lang w:val="en-US" w:eastAsia="en-US"/>
              </w:rPr>
              <w:t xml:space="preserve"/>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w:t>
            </w:r>
            <w:r w:rsidRPr="0073212F">
              <w:t>л</w:t>
            </w:r>
            <w:r w:rsidRPr="0073212F">
              <w:rPr>
                <w:lang w:val="en-US"/>
              </w:rPr>
              <w:t>/</w:t>
            </w:r>
            <w:r w:rsidRPr="0073212F">
              <w:t>с</w:t>
            </w:r>
            <w:r w:rsidRPr="0073212F">
              <w:rPr>
                <w:lang w:val="en-US"/>
              </w:rPr>
              <w:t xml:space="preserve"> ________________</w:t>
            </w:r>
            <w:proofErr w:type="spellStart"/>
            <w:r w:rsidRPr="0073212F">
              <w:rPr>
                <w:lang w:val="en-US"/>
              </w:rPr>
              <w:t/>
            </w:r>
            <w:proofErr w:type="spellEnd"/>
            <w:r w:rsidRPr="0073212F">
              <w:rPr>
                <w:lang w:val="en-US"/>
              </w:rPr>
              <w:t xml:space="preserve"/>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r w:rsidRPr="0073212F">
              <w:rPr>
                <w:lang w:val="en-US"/>
              </w:rPr>
              <w:t>)</w:t>
            </w:r>
          </w:p>
        </w:tc>
      </w:tr>
      <w:tr w:rsidR="009942F2" w:rsidRPr="009F234F"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03234643467620004800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77777777" w:rsidR="009942F2" w:rsidRPr="0073212F" w:rsidRDefault="009942F2" w:rsidP="00AD01A5">
            <w:pPr>
              <w:pStyle w:val="a8"/>
              <w:rPr>
                <w:lang w:val="en-US"/>
              </w:rPr>
            </w:pPr>
            <w:r w:rsidRPr="0073212F">
              <w:t>ОКТМО</w:t>
            </w:r>
            <w:r w:rsidRPr="0073212F">
              <w:rPr>
                <w:lang w:val="en-US"/>
              </w:rPr>
              <w:t xml:space="preserve"> 46762000001</w:t>
            </w:r>
            <w:proofErr w:type="spellStart"/>
            <w:r w:rsidRPr="0073212F">
              <w:rPr>
                <w:lang w:val="en-US"/>
              </w:rPr>
              <w:t/>
            </w:r>
            <w:proofErr w:type="spellEnd"/>
            <w:r w:rsidRPr="0073212F">
              <w:rPr>
                <w:lang w:val="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+74967731184</w:t>
            </w:r>
            <w:proofErr w:type="spellStart"/>
            <w:r w:rsidRPr="0073212F">
              <w:rPr>
                <w:lang w:val="en-US"/>
              </w:rPr>
              <w:t/>
            </w:r>
            <w:proofErr w:type="spellEnd"/>
            <w:r w:rsidRPr="0073212F">
              <w:rPr>
                <w:lang w:val="en-US"/>
              </w:rPr>
              <w:t xml:space="preserve"/>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rosinka8@bk.ru</w:t>
            </w:r>
            <w:proofErr w:type="spellStart"/>
            <w:r w:rsidRPr="0073212F">
              <w:rPr>
                <w:lang w:val="en-US"/>
              </w:rPr>
              <w:t/>
            </w:r>
            <w:proofErr w:type="spellEnd"/>
            <w:r w:rsidRPr="0073212F">
              <w:rPr>
                <w:lang w:val="en-US"/>
              </w:rPr>
              <w:t xml:space="preserve"/>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roofErr w:type="spellStart"/>
            <w:r w:rsidRPr="0073212F">
              <w:rPr>
                <w:lang w:val="en-US"/>
              </w:rPr>
              <w:t/>
            </w:r>
            <w:proofErr w:type="spellEnd"/>
            <w:r w:rsidRPr="0073212F">
              <w:rPr>
                <w:lang w:val="en-US"/>
              </w:rPr>
              <w:t xml:space="preserve"/>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roofErr w:type="spellStart"/>
            <w:r w:rsidRPr="0073212F">
              <w:rPr>
                <w:lang w:val="en-US"/>
              </w:rPr>
              <w:t/>
            </w:r>
            <w:proofErr w:type="spellEnd"/>
            <w:r w:rsidRPr="0073212F">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Заведующий</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(О. В. Першина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821FE9">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7CD5C769-E4F9-44E3-9753-3D77F6A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translate.ru/%D0%BF%D0%B5%D1%80%D0%B5%D0%B2%D0%BE%D0%B4/%D0%B0%D0%BD%D0%B3%D0%BB%D0%B8%D0%B9%D1%81%D0%BA%D0%B8%D0%B9-%D1%80%D1%83%D1%81%D1%81%D0%BA%D0%B8%D0%B9/address"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1B0C-E440-4F07-A0E0-AFC0463E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29</cp:revision>
  <cp:lastPrinted>2022-03-02T11:53:00Z</cp:lastPrinted>
  <dcterms:created xsi:type="dcterms:W3CDTF">2022-03-09T13:19:00Z</dcterms:created>
  <dcterms:modified xsi:type="dcterms:W3CDTF">2022-04-27T13:05:00Z</dcterms:modified>
</cp:coreProperties>
</file>