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5312BA" w:rsidP="008E7F52">
      <w:pPr>
        <w:ind w:left="357"/>
        <w:jc w:val="right"/>
        <w:rPr>
          <w:b/>
        </w:rPr>
      </w:pPr>
      <w:r>
        <w:rPr>
          <w:b/>
        </w:rPr>
        <w:t>МФЦ Шатура</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9824FB">
        <w:rPr>
          <w:b/>
          <w:u w:val="single"/>
        </w:rPr>
        <w:t>10</w:t>
      </w:r>
      <w:r w:rsidRPr="00C5246F">
        <w:rPr>
          <w:b/>
          <w:u w:val="single"/>
        </w:rPr>
        <w:t xml:space="preserve">» </w:t>
      </w:r>
      <w:r w:rsidR="009824FB">
        <w:rPr>
          <w:b/>
          <w:u w:val="single"/>
        </w:rPr>
        <w:t>августа</w:t>
      </w:r>
      <w:r w:rsidR="00766183">
        <w:rPr>
          <w:b/>
          <w:u w:val="single"/>
        </w:rPr>
        <w:t xml:space="preserve"> 2021</w:t>
      </w:r>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93073F" w:rsidRDefault="006E5392" w:rsidP="00FE54C8">
      <w:pPr>
        <w:pStyle w:val="a8"/>
        <w:shd w:val="clear" w:color="auto" w:fill="FFFFFF"/>
        <w:spacing w:before="0" w:beforeAutospacing="0" w:after="0" w:afterAutospacing="0"/>
        <w:jc w:val="center"/>
        <w:rPr>
          <w:b/>
        </w:rPr>
      </w:pPr>
      <w:r w:rsidRPr="006E5392">
        <w:rPr>
          <w:b/>
        </w:rPr>
        <w:t xml:space="preserve">на право заключения </w:t>
      </w:r>
      <w:r w:rsidR="00766183">
        <w:rPr>
          <w:b/>
        </w:rPr>
        <w:t xml:space="preserve">договора </w:t>
      </w:r>
      <w:r w:rsidR="00FE54C8" w:rsidRPr="00FE54C8">
        <w:rPr>
          <w:b/>
        </w:rPr>
        <w:t xml:space="preserve">на </w:t>
      </w:r>
      <w:r w:rsidR="00742B88">
        <w:rPr>
          <w:b/>
        </w:rPr>
        <w:t>поставку</w:t>
      </w:r>
      <w:r w:rsidR="00742B88" w:rsidRPr="00742B88">
        <w:rPr>
          <w:b/>
        </w:rPr>
        <w:t xml:space="preserve"> </w:t>
      </w:r>
      <w:r w:rsidR="00177B80">
        <w:rPr>
          <w:b/>
        </w:rPr>
        <w:t xml:space="preserve">офисной техники для нужд </w:t>
      </w:r>
      <w:r w:rsidR="00742B88" w:rsidRPr="00742B88">
        <w:rPr>
          <w:b/>
        </w:rPr>
        <w:t>МФЦ</w:t>
      </w:r>
      <w:r w:rsidR="00742B88">
        <w:rPr>
          <w:b/>
        </w:rPr>
        <w:t xml:space="preserve"> 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766183">
      <w:pPr>
        <w:rPr>
          <w:b/>
          <w:snapToGrid w:val="0"/>
          <w:color w:val="000000"/>
        </w:rPr>
      </w:pPr>
    </w:p>
    <w:p w:rsidR="00DC1D2D" w:rsidRDefault="00DC1D2D" w:rsidP="00BA2DE6">
      <w:pPr>
        <w:jc w:val="center"/>
        <w:rPr>
          <w:b/>
          <w:snapToGrid w:val="0"/>
          <w:color w:val="000000"/>
        </w:rPr>
      </w:pPr>
    </w:p>
    <w:p w:rsidR="00925EDA" w:rsidRDefault="00925EDA" w:rsidP="00766183">
      <w:pPr>
        <w:rPr>
          <w:b/>
          <w:snapToGrid w:val="0"/>
          <w:color w:val="000000"/>
        </w:rPr>
      </w:pPr>
    </w:p>
    <w:p w:rsidR="00925EDA" w:rsidRDefault="00925EDA"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w:t>
      </w:r>
      <w:r w:rsidR="00766183">
        <w:rPr>
          <w:b/>
        </w:rPr>
        <w:t>1</w:t>
      </w:r>
      <w:r w:rsidR="00BC68AA" w:rsidRPr="00BC68AA">
        <w:rPr>
          <w:b/>
        </w:rPr>
        <w:t xml:space="preserve"> год</w:t>
      </w:r>
    </w:p>
    <w:p w:rsidR="00BC68AA" w:rsidRDefault="00614B31" w:rsidP="00925EDA">
      <w:pPr>
        <w:rPr>
          <w:b/>
          <w:snapToGrid w:val="0"/>
          <w:color w:val="000000"/>
        </w:rPr>
      </w:pPr>
      <w:r>
        <w:rPr>
          <w:b/>
          <w:snapToGrid w:val="0"/>
          <w:color w:val="000000"/>
        </w:rPr>
        <w:lastRenderedPageBreak/>
        <w:t xml:space="preserve"> </w:t>
      </w:r>
    </w:p>
    <w:p w:rsidR="008E7F52" w:rsidRDefault="008E7F52">
      <w:pPr>
        <w:spacing w:after="200" w:line="276" w:lineRule="auto"/>
        <w:rPr>
          <w:b/>
          <w:snapToGrid w:val="0"/>
          <w:color w:val="000000"/>
        </w:rPr>
      </w:pPr>
      <w:r>
        <w:rPr>
          <w:b/>
          <w:snapToGrid w:val="0"/>
          <w:color w:val="000000"/>
        </w:rPr>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8C0C63">
              <w:t xml:space="preserve">городского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r w:rsidR="00DC1D2D" w:rsidRPr="009125C3">
              <w:t>mfc-shatura</w:t>
            </w:r>
            <w:r w:rsidR="00061DCE">
              <w:rPr>
                <w:lang w:val="en-US"/>
              </w:rPr>
              <w:t>mr</w:t>
            </w:r>
            <w:r w:rsidR="00061DCE">
              <w:t>@</w:t>
            </w:r>
            <w:r w:rsidR="00061DCE">
              <w:rPr>
                <w:lang w:val="en-US"/>
              </w:rPr>
              <w:t>mosreg</w:t>
            </w:r>
            <w:r w:rsidR="00DC1D2D" w:rsidRPr="009125C3">
              <w:t>.ru</w:t>
            </w:r>
          </w:p>
          <w:p w:rsidR="00BA2DE6" w:rsidRPr="00FF6D19" w:rsidRDefault="00EE6DB5" w:rsidP="00DC1D2D">
            <w:pPr>
              <w:jc w:val="both"/>
              <w:rPr>
                <w:highlight w:val="red"/>
              </w:rPr>
            </w:pPr>
            <w:r w:rsidRPr="00FF6D19">
              <w:t xml:space="preserve">Контактное лицо – </w:t>
            </w:r>
            <w:r w:rsidR="00177B80">
              <w:t>Котова Наталья Сергеевна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177B80" w:rsidP="00C72519">
            <w:pPr>
              <w:jc w:val="both"/>
              <w:rPr>
                <w:highlight w:val="red"/>
                <w:lang w:val="en-US"/>
              </w:rPr>
            </w:pPr>
            <w:r>
              <w:rPr>
                <w:bCs/>
              </w:rPr>
              <w:t>8-963-603-20-70</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9824FB" w:rsidP="00EE6DB5">
            <w:pPr>
              <w:jc w:val="both"/>
            </w:pPr>
            <w:hyperlink r:id="rId8"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766183" w:rsidP="00025D3B">
            <w:r>
              <w:t>Бюджет Г</w:t>
            </w:r>
            <w:r w:rsidR="00061DCE">
              <w:t>ородского округа Шатура</w:t>
            </w:r>
            <w:r w:rsidR="00FA4645">
              <w:t xml:space="preserve"> на 202</w:t>
            </w:r>
            <w:r w:rsidR="00025D3B">
              <w:t>1</w:t>
            </w:r>
            <w:r w:rsidR="00FA4645">
              <w:t xml:space="preserve">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274DD" w:rsidRDefault="00177B80" w:rsidP="00742B88">
            <w:pPr>
              <w:spacing w:line="0" w:lineRule="atLeast"/>
              <w:jc w:val="both"/>
            </w:pPr>
            <w:r>
              <w:t>Поставка офисной техники для нужд МФЦ Шатура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766183">
              <w:t xml:space="preserve"> 7</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Default="00FE54C8" w:rsidP="005C2C66">
            <w:pPr>
              <w:jc w:val="both"/>
            </w:pPr>
            <w:r w:rsidRPr="00FE54C8">
              <w:t>140700, Московская область, г. Шатура ул. Интернациональная д. 8</w:t>
            </w:r>
          </w:p>
          <w:p w:rsidR="00766183" w:rsidRPr="00FF6D19" w:rsidRDefault="00766183" w:rsidP="005C2C66">
            <w:pPr>
              <w:jc w:val="both"/>
            </w:pP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E5392" w:rsidRDefault="00742B88" w:rsidP="00025D3B">
            <w:pPr>
              <w:pStyle w:val="a3"/>
              <w:autoSpaceDE w:val="0"/>
              <w:rPr>
                <w:highlight w:val="red"/>
              </w:rPr>
            </w:pPr>
            <w:r>
              <w:t>В течении 30 дней с момента заключения договора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766183">
            <w:pPr>
              <w:widowControl w:val="0"/>
              <w:jc w:val="both"/>
              <w:rPr>
                <w:rFonts w:eastAsia="Courier New"/>
                <w:color w:val="000000"/>
              </w:rPr>
            </w:pPr>
            <w:r w:rsidRPr="00FF6D19">
              <w:t xml:space="preserve">Цена договора включает в себя все расходы </w:t>
            </w:r>
            <w:r w:rsidR="00241111">
              <w:t>П</w:t>
            </w:r>
            <w:r w:rsidR="00766183">
              <w:t>оставщика</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AF2A73" w:rsidRDefault="00177B80" w:rsidP="004C3CF6">
            <w:pPr>
              <w:jc w:val="both"/>
              <w:rPr>
                <w:b/>
                <w:i/>
              </w:rPr>
            </w:pPr>
            <w:r>
              <w:rPr>
                <w:rFonts w:eastAsia="Calibri"/>
                <w:b/>
                <w:iCs/>
                <w:lang w:eastAsia="en-US"/>
              </w:rPr>
              <w:t xml:space="preserve"> 743 697,</w:t>
            </w:r>
            <w:proofErr w:type="gramStart"/>
            <w:r>
              <w:rPr>
                <w:rFonts w:eastAsia="Calibri"/>
                <w:b/>
                <w:iCs/>
                <w:lang w:eastAsia="en-US"/>
              </w:rPr>
              <w:t xml:space="preserve">28 </w:t>
            </w:r>
            <w:r w:rsidR="00936A3D" w:rsidRPr="00936A3D">
              <w:rPr>
                <w:rFonts w:eastAsia="Calibri"/>
                <w:b/>
                <w:iCs/>
                <w:lang w:eastAsia="en-US"/>
              </w:rPr>
              <w:t xml:space="preserve"> </w:t>
            </w:r>
            <w:r w:rsidR="00AF2A73" w:rsidRPr="00AF2A73">
              <w:rPr>
                <w:rFonts w:eastAsia="Calibri"/>
                <w:b/>
                <w:iCs/>
                <w:lang w:eastAsia="en-US"/>
              </w:rPr>
              <w:t>(</w:t>
            </w:r>
            <w:proofErr w:type="gramEnd"/>
            <w:r>
              <w:rPr>
                <w:rFonts w:eastAsia="Calibri"/>
                <w:b/>
                <w:iCs/>
                <w:lang w:eastAsia="en-US"/>
              </w:rPr>
              <w:t>семьсот сорок три тысячи шестьсот девяносто семь</w:t>
            </w:r>
            <w:r w:rsidR="00AF2A73" w:rsidRPr="00AF2A73">
              <w:rPr>
                <w:rFonts w:eastAsia="Calibri"/>
                <w:b/>
                <w:iCs/>
                <w:lang w:eastAsia="en-US"/>
              </w:rPr>
              <w:t xml:space="preserve">) </w:t>
            </w:r>
            <w:r>
              <w:rPr>
                <w:rFonts w:eastAsia="Calibri"/>
                <w:b/>
                <w:iCs/>
                <w:lang w:eastAsia="en-US"/>
              </w:rPr>
              <w:t>рублей 28</w:t>
            </w:r>
            <w:r w:rsidR="00AF2A73" w:rsidRPr="00AF2A73">
              <w:rPr>
                <w:rFonts w:eastAsia="Calibri"/>
                <w:b/>
                <w:iCs/>
                <w:lang w:eastAsia="en-US"/>
              </w:rPr>
              <w:t xml:space="preserve"> копе</w:t>
            </w:r>
            <w:r>
              <w:rPr>
                <w:rFonts w:eastAsia="Calibri"/>
                <w:b/>
                <w:iCs/>
                <w:lang w:eastAsia="en-US"/>
              </w:rPr>
              <w:t>ек</w:t>
            </w:r>
            <w:r w:rsidR="00AF2A73" w:rsidRPr="00AF2A73">
              <w:rPr>
                <w:rFonts w:eastAsia="Calibri"/>
                <w:b/>
                <w:iCs/>
                <w:lang w:eastAsia="en-US"/>
              </w:rPr>
              <w:t>.</w:t>
            </w:r>
          </w:p>
          <w:p w:rsidR="004C3CF6" w:rsidRPr="00AF2A73" w:rsidRDefault="004C3CF6" w:rsidP="004C3CF6">
            <w:pPr>
              <w:jc w:val="both"/>
            </w:pPr>
            <w:r w:rsidRPr="00AF2A73">
              <w:t>Для участников, находящихся на упрощенной системе налогообложения, НДС не распространяется.</w:t>
            </w:r>
          </w:p>
          <w:p w:rsidR="006E5392" w:rsidRPr="00AF2A73" w:rsidRDefault="006E5392" w:rsidP="006E5392">
            <w:pPr>
              <w:jc w:val="both"/>
              <w:rPr>
                <w:b/>
              </w:rPr>
            </w:pPr>
            <w:r w:rsidRPr="00AF2A73">
              <w:rPr>
                <w:b/>
              </w:rPr>
              <w:t>Запрос котировок проводится путем снижения начальной (максимальной) цены договора.</w:t>
            </w:r>
          </w:p>
          <w:p w:rsidR="006E5392" w:rsidRPr="00AF2A73" w:rsidRDefault="006E5392" w:rsidP="006E5392">
            <w:pPr>
              <w:jc w:val="both"/>
              <w:rPr>
                <w:b/>
              </w:rPr>
            </w:pPr>
            <w:r w:rsidRPr="00AF2A73">
              <w:rPr>
                <w:b/>
              </w:rPr>
              <w:t>По итогам проведения Запроса котировок при заключении договора начальная (максимал</w:t>
            </w:r>
            <w:r w:rsidR="00177B80">
              <w:rPr>
                <w:b/>
              </w:rPr>
              <w:t>ьная) цена единицы каждой позиции</w:t>
            </w:r>
            <w:r w:rsidRPr="00AF2A73">
              <w:rPr>
                <w:b/>
              </w:rPr>
              <w:t xml:space="preserve"> будет пропорционально уменьшена на процент снижения начальной (максимальной) цены договора, достигнутый в ходе проведения Запроса котировок.</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proofErr w:type="spellStart"/>
              <w:r w:rsidR="004C3CF6" w:rsidRPr="00FF6D19">
                <w:rPr>
                  <w:rStyle w:val="a5"/>
                  <w:lang w:val="en-US"/>
                </w:rPr>
                <w:t>mosreg</w:t>
              </w:r>
              <w:proofErr w:type="spellEnd"/>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9824FB" w:rsidP="00D518C8">
            <w:pPr>
              <w:jc w:val="both"/>
              <w:rPr>
                <w:rStyle w:val="a5"/>
              </w:rPr>
            </w:pPr>
            <w:hyperlink r:id="rId11"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A6160" w:rsidRDefault="00177B80" w:rsidP="00936A3D">
            <w:pPr>
              <w:autoSpaceDE w:val="0"/>
              <w:autoSpaceDN w:val="0"/>
              <w:adjustRightInd w:val="0"/>
              <w:jc w:val="both"/>
              <w:rPr>
                <w:b/>
              </w:rPr>
            </w:pPr>
            <w:r>
              <w:rPr>
                <w:b/>
              </w:rPr>
              <w:t>16</w:t>
            </w:r>
            <w:r w:rsidR="00791902" w:rsidRPr="000A6160">
              <w:rPr>
                <w:b/>
              </w:rPr>
              <w:t>.</w:t>
            </w:r>
            <w:r w:rsidR="00766183">
              <w:rPr>
                <w:b/>
              </w:rPr>
              <w:t>0</w:t>
            </w:r>
            <w:r>
              <w:rPr>
                <w:b/>
              </w:rPr>
              <w:t>8</w:t>
            </w:r>
            <w:r w:rsidR="00766183">
              <w:rPr>
                <w:b/>
              </w:rPr>
              <w:t>.2021</w:t>
            </w:r>
            <w:r w:rsidR="00CC062C" w:rsidRPr="000A6160">
              <w:rPr>
                <w:b/>
              </w:rPr>
              <w:t xml:space="preserve"> г.</w:t>
            </w:r>
            <w:r w:rsidR="00157137" w:rsidRPr="000A6160">
              <w:rPr>
                <w:b/>
              </w:rPr>
              <w:t xml:space="preserve"> в</w:t>
            </w:r>
            <w:r w:rsidR="00CC062C" w:rsidRPr="000A6160">
              <w:rPr>
                <w:b/>
              </w:rPr>
              <w:t xml:space="preserve"> </w:t>
            </w:r>
            <w:r>
              <w:rPr>
                <w:b/>
              </w:rPr>
              <w:t>09</w:t>
            </w:r>
            <w:r w:rsidR="00CC062C" w:rsidRPr="000A6160">
              <w:rPr>
                <w:b/>
              </w:rPr>
              <w:t>:</w:t>
            </w:r>
            <w:r w:rsidR="00905937" w:rsidRPr="000A6160">
              <w:rPr>
                <w:b/>
              </w:rPr>
              <w:t>0</w:t>
            </w:r>
            <w:r w:rsidR="00671A76" w:rsidRPr="000A6160">
              <w:rPr>
                <w:b/>
              </w:rPr>
              <w:t>0</w:t>
            </w:r>
            <w:r>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177B80" w:rsidP="003571C1">
            <w:pPr>
              <w:jc w:val="both"/>
              <w:rPr>
                <w:b/>
              </w:rPr>
            </w:pPr>
            <w:r>
              <w:rPr>
                <w:b/>
              </w:rPr>
              <w:t>27</w:t>
            </w:r>
            <w:r w:rsidR="00CF5781" w:rsidRPr="000A6160">
              <w:rPr>
                <w:b/>
              </w:rPr>
              <w:t>.</w:t>
            </w:r>
            <w:r w:rsidR="00766183">
              <w:rPr>
                <w:b/>
              </w:rPr>
              <w:t>0</w:t>
            </w:r>
            <w:r>
              <w:rPr>
                <w:b/>
              </w:rPr>
              <w:t>8</w:t>
            </w:r>
            <w:r w:rsidR="00766183">
              <w:rPr>
                <w:b/>
              </w:rPr>
              <w:t>.2021</w:t>
            </w:r>
            <w:r w:rsidR="00CC062C" w:rsidRPr="000A6160">
              <w:rPr>
                <w:b/>
              </w:rPr>
              <w:t xml:space="preserve"> г </w:t>
            </w:r>
            <w:r w:rsidR="00157137" w:rsidRPr="000A6160">
              <w:rPr>
                <w:b/>
              </w:rPr>
              <w:t>в</w:t>
            </w:r>
            <w:r w:rsidR="00766183">
              <w:rPr>
                <w:b/>
              </w:rPr>
              <w:t xml:space="preserve"> 09</w:t>
            </w:r>
            <w:r w:rsidR="00CC062C" w:rsidRPr="000A6160">
              <w:rPr>
                <w:b/>
              </w:rPr>
              <w:t>:</w:t>
            </w:r>
            <w:r w:rsidR="0093073F" w:rsidRPr="000A6160">
              <w:rPr>
                <w:b/>
              </w:rPr>
              <w:t>00</w:t>
            </w:r>
            <w:r>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177B80" w:rsidP="00A91132">
            <w:pPr>
              <w:jc w:val="both"/>
              <w:rPr>
                <w:b/>
              </w:rPr>
            </w:pPr>
            <w:r>
              <w:rPr>
                <w:b/>
              </w:rPr>
              <w:t>27</w:t>
            </w:r>
            <w:r w:rsidR="00766183">
              <w:rPr>
                <w:b/>
              </w:rPr>
              <w:t>.0</w:t>
            </w:r>
            <w:r>
              <w:rPr>
                <w:b/>
              </w:rPr>
              <w:t>8</w:t>
            </w:r>
            <w:r w:rsidR="00766183">
              <w:rPr>
                <w:b/>
              </w:rPr>
              <w:t>.2021</w:t>
            </w:r>
            <w:r w:rsidR="00157137" w:rsidRPr="000A6160">
              <w:rPr>
                <w:b/>
              </w:rPr>
              <w:t xml:space="preserve"> г. в</w:t>
            </w:r>
            <w:r w:rsidR="00CC062C" w:rsidRPr="000A6160">
              <w:rPr>
                <w:b/>
              </w:rPr>
              <w:t xml:space="preserve"> </w:t>
            </w:r>
            <w:r>
              <w:rPr>
                <w:b/>
              </w:rPr>
              <w:t>10</w:t>
            </w:r>
            <w:r w:rsidR="00CC062C" w:rsidRPr="000A6160">
              <w:rPr>
                <w:b/>
              </w:rPr>
              <w:t>:</w:t>
            </w:r>
            <w:r w:rsidR="0093073F" w:rsidRPr="000A6160">
              <w:rPr>
                <w:b/>
              </w:rPr>
              <w:t>00</w:t>
            </w:r>
            <w:r>
              <w:rPr>
                <w:b/>
              </w:rPr>
              <w:t xml:space="preserve"> «время московское</w:t>
            </w:r>
            <w:r w:rsidR="00157137" w:rsidRPr="000A6160">
              <w:rPr>
                <w:b/>
              </w:rPr>
              <w:t>»</w:t>
            </w:r>
          </w:p>
          <w:p w:rsidR="00534C09" w:rsidRPr="000A6160" w:rsidRDefault="00534C09" w:rsidP="00A91132">
            <w:pPr>
              <w:jc w:val="both"/>
              <w:rPr>
                <w:b/>
              </w:rPr>
            </w:pPr>
            <w:r w:rsidRPr="000A6160">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 xml:space="preserve">Информация о возможности отказа </w:t>
            </w:r>
            <w:r w:rsidRPr="00FF6D19">
              <w:lastRenderedPageBreak/>
              <w:t>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lastRenderedPageBreak/>
              <w:t xml:space="preserve">Заказчик вправе отменить конкурентную закупку по одному и более предмету закупки (лоту) до наступления даты и времени </w:t>
            </w:r>
            <w:r w:rsidRPr="00FF6D19">
              <w:lastRenderedPageBreak/>
              <w:t>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FE54C8" w:rsidRDefault="00FE54C8" w:rsidP="002D7DA2">
            <w:pPr>
              <w:ind w:right="-61" w:firstLine="567"/>
              <w:jc w:val="both"/>
            </w:pPr>
            <w:r w:rsidRPr="00FE54C8">
              <w:t xml:space="preserve">Оплата </w:t>
            </w:r>
            <w:r w:rsidR="00766183">
              <w:t>услуг</w:t>
            </w:r>
            <w:r w:rsidRPr="00FE54C8">
              <w:t xml:space="preserve"> производится Заказчиком</w:t>
            </w:r>
            <w:r w:rsidR="00766183">
              <w:t xml:space="preserve"> </w:t>
            </w:r>
            <w:r w:rsidRPr="00FE54C8">
              <w:t xml:space="preserve">на основании надлежащим образом оформленных и подписанных Сторонами </w:t>
            </w:r>
            <w:r w:rsidR="00766183">
              <w:t xml:space="preserve">счета-фактуры, </w:t>
            </w:r>
            <w:r w:rsidR="00742B88">
              <w:t>ТОРГ 12,</w:t>
            </w:r>
            <w:r w:rsidR="00766183">
              <w:t xml:space="preserve"> </w:t>
            </w:r>
            <w:r w:rsidRPr="00FE54C8">
              <w:t>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766183">
              <w:t xml:space="preserve">тный счет Поставщика в течение </w:t>
            </w:r>
            <w:r w:rsidR="0060117C">
              <w:t>14</w:t>
            </w:r>
            <w:r w:rsidRPr="00FE54C8">
              <w:t xml:space="preserve"> (</w:t>
            </w:r>
            <w:r w:rsidR="0060117C">
              <w:t>четырнадцать</w:t>
            </w:r>
            <w:r w:rsidRPr="00FE54C8">
              <w:t>)</w:t>
            </w:r>
            <w:r w:rsidR="0060117C">
              <w:t xml:space="preserve"> </w:t>
            </w:r>
            <w:r w:rsidRPr="00FE54C8">
              <w:t xml:space="preserve">дней с момента подписания </w:t>
            </w:r>
            <w:r w:rsidR="00742B88">
              <w:t>документов приемки</w:t>
            </w:r>
            <w:r w:rsidR="00936A3D">
              <w:t xml:space="preserve">, </w:t>
            </w:r>
            <w:r w:rsidR="00936A3D" w:rsidRPr="00936A3D">
              <w:t>в случае заключения контракта с СМП или СОНО - не более чем в течение 7 рабочих дней с даты подписания заказчиком документа о приемке.</w:t>
            </w:r>
            <w:r w:rsidR="00936A3D">
              <w:t xml:space="preserve"> </w:t>
            </w:r>
            <w:r w:rsidRPr="00FE54C8">
              <w:t>Датой оплаты считается день списания денежных средств с расчетного счета Заказчика.</w:t>
            </w:r>
          </w:p>
          <w:p w:rsidR="00970905" w:rsidRPr="009E0D90" w:rsidRDefault="0005250D" w:rsidP="00742B88">
            <w:pPr>
              <w:ind w:right="-61" w:firstLine="567"/>
              <w:jc w:val="both"/>
            </w:pPr>
            <w:r w:rsidRPr="00ED575E">
              <w:t xml:space="preserve">Оплата </w:t>
            </w:r>
            <w:r w:rsidR="00742B88">
              <w:t>товара</w:t>
            </w:r>
            <w:r w:rsidRPr="00ED575E">
              <w:t xml:space="preserve"> производится Заказчиком путем безналичного перечисления денежных средств на расчетный счет </w:t>
            </w:r>
            <w:r w:rsidR="002D7DA2">
              <w:t>П</w:t>
            </w:r>
            <w:r w:rsidR="00766183">
              <w:t>оставщика</w:t>
            </w:r>
            <w:r w:rsidR="00F62DDA">
              <w:t>.</w:t>
            </w:r>
            <w:r w:rsidRPr="00ED575E">
              <w:t xml:space="preserve"> 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60117C" w:rsidP="000B10E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w:t>
            </w:r>
            <w:r w:rsidR="00970905" w:rsidRPr="00FF6D19">
              <w:rPr>
                <w:rFonts w:ascii="Times New Roman" w:hAnsi="Times New Roman" w:cs="Times New Roman"/>
                <w:sz w:val="24"/>
                <w:szCs w:val="24"/>
              </w:rPr>
              <w:t xml:space="preserve">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00970905"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00970905" w:rsidRPr="00FF6D19">
              <w:rPr>
                <w:rFonts w:ascii="Times New Roman" w:hAnsi="Times New Roman" w:cs="Times New Roman"/>
                <w:sz w:val="24"/>
                <w:szCs w:val="24"/>
              </w:rPr>
              <w:t xml:space="preserve">, если указанный запрос поступил к Заказчику не позднее чем </w:t>
            </w:r>
            <w:r w:rsidR="00970905" w:rsidRPr="00FF6D19">
              <w:rPr>
                <w:rFonts w:ascii="Times New Roman" w:hAnsi="Times New Roman" w:cs="Times New Roman"/>
                <w:sz w:val="24"/>
                <w:szCs w:val="24"/>
                <w:u w:val="single"/>
              </w:rPr>
              <w:t>за 4 дня до даты</w:t>
            </w:r>
            <w:r w:rsidR="00970905"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w:t>
            </w:r>
            <w:r w:rsidRPr="00FF6D19">
              <w:rPr>
                <w:rFonts w:ascii="Times New Roman" w:hAnsi="Times New Roman" w:cs="Times New Roman"/>
                <w:sz w:val="24"/>
                <w:szCs w:val="24"/>
              </w:rPr>
              <w:lastRenderedPageBreak/>
              <w:t xml:space="preserve">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lastRenderedPageBreak/>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w:t>
            </w:r>
            <w:r w:rsidR="0060117C">
              <w:rPr>
                <w:rFonts w:ascii="Times New Roman" w:hAnsi="Times New Roman" w:cs="Times New Roman"/>
                <w:sz w:val="24"/>
                <w:szCs w:val="24"/>
              </w:rPr>
              <w:t>).</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w:t>
            </w:r>
            <w:r w:rsidRPr="008C0C63">
              <w:rPr>
                <w:b/>
                <w:i/>
                <w:sz w:val="26"/>
                <w:szCs w:val="26"/>
              </w:rPr>
              <w:lastRenderedPageBreak/>
              <w:t>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lastRenderedPageBreak/>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 xml:space="preserve">Требования, предъявляемые к содержанию и составу </w:t>
            </w:r>
            <w:r w:rsidRPr="00FF6D19">
              <w:rPr>
                <w:lang w:eastAsia="en-US"/>
              </w:rPr>
              <w:lastRenderedPageBreak/>
              <w:t>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lastRenderedPageBreak/>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w:t>
            </w:r>
            <w:r w:rsidR="00C73590" w:rsidRPr="00FF6D19">
              <w:rPr>
                <w:rFonts w:ascii="Times New Roman" w:hAnsi="Times New Roman" w:cs="Times New Roman"/>
                <w:sz w:val="24"/>
                <w:szCs w:val="24"/>
              </w:rPr>
              <w:lastRenderedPageBreak/>
              <w:t>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w:t>
            </w:r>
            <w:r w:rsidRPr="00FF6D19">
              <w:rPr>
                <w:rFonts w:ascii="Times New Roman" w:hAnsi="Times New Roman" w:cs="Times New Roman"/>
                <w:sz w:val="24"/>
                <w:szCs w:val="24"/>
              </w:rPr>
              <w:lastRenderedPageBreak/>
              <w:t xml:space="preserve">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w:t>
            </w:r>
            <w:r w:rsidR="00C73590" w:rsidRPr="00FF6D19">
              <w:rPr>
                <w:rFonts w:ascii="Times New Roman" w:hAnsi="Times New Roman" w:cs="Times New Roman"/>
                <w:sz w:val="24"/>
                <w:szCs w:val="24"/>
              </w:rPr>
              <w:lastRenderedPageBreak/>
              <w:t xml:space="preserve">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 xml:space="preserve">и срок отзыва заявок на участие в запросе котировок, порядок возврата заявок на участие в запросе котировок (в том числе </w:t>
            </w:r>
            <w:r w:rsidR="00970905" w:rsidRPr="00FF6D19">
              <w:lastRenderedPageBreak/>
              <w:t>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lastRenderedPageBreak/>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lastRenderedPageBreak/>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w:t>
            </w:r>
            <w:r w:rsidRPr="00160DE0">
              <w:lastRenderedPageBreak/>
              <w:t>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w:t>
            </w:r>
            <w:r w:rsidR="00BE0D77" w:rsidRPr="00FF6D19">
              <w:lastRenderedPageBreak/>
              <w:t>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lastRenderedPageBreak/>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lastRenderedPageBreak/>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w:t>
            </w:r>
            <w:r w:rsidRPr="00FF6D19">
              <w:rPr>
                <w:spacing w:val="-1"/>
              </w:rPr>
              <w:lastRenderedPageBreak/>
              <w:t xml:space="preserve">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lastRenderedPageBreak/>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w:t>
      </w:r>
      <w:r w:rsidRPr="0059733D">
        <w:rPr>
          <w:rFonts w:ascii="Times New Roman" w:hAnsi="Times New Roman" w:cs="Times New Roman"/>
          <w:sz w:val="24"/>
          <w:szCs w:val="24"/>
        </w:rPr>
        <w:lastRenderedPageBreak/>
        <w:t xml:space="preserve">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w:t>
      </w:r>
      <w:proofErr w:type="gramStart"/>
      <w:r w:rsidRPr="00940608">
        <w:t>_(</w:t>
      </w:r>
      <w:proofErr w:type="gramEnd"/>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w:t>
      </w:r>
      <w:proofErr w:type="gramStart"/>
      <w:r w:rsidRPr="00DB3CAB">
        <w:rPr>
          <w:rStyle w:val="FontStyle42"/>
          <w:rFonts w:eastAsia="Calibri"/>
          <w:color w:val="000000"/>
          <w:sz w:val="24"/>
          <w:szCs w:val="24"/>
          <w:lang w:eastAsia="en-US"/>
        </w:rPr>
        <w:t>описи</w:t>
      </w:r>
      <w:proofErr w:type="gramEnd"/>
      <w:r w:rsidRPr="00DB3CAB">
        <w:rPr>
          <w:rStyle w:val="FontStyle42"/>
          <w:rFonts w:eastAsia="Calibri"/>
          <w:color w:val="000000"/>
          <w:sz w:val="24"/>
          <w:szCs w:val="24"/>
          <w:lang w:eastAsia="en-US"/>
        </w:rPr>
        <w:t xml:space="preserve">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1" w:name="_Toc411861127"/>
      <w:bookmarkStart w:id="2" w:name="_Toc457566972"/>
      <w:bookmarkStart w:id="3"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1"/>
      <w:bookmarkEnd w:id="2"/>
      <w:bookmarkEnd w:id="3"/>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4" w:name="_Toc411861132"/>
      <w:bookmarkStart w:id="5" w:name="_Toc457566976"/>
      <w:bookmarkStart w:id="6" w:name="_Toc457567130"/>
      <w:r w:rsidRPr="00E355EA">
        <w:rPr>
          <w:iCs/>
        </w:rPr>
        <w:t>(оформляется на фирменном бланке участника размещения заказа)</w:t>
      </w:r>
      <w:bookmarkEnd w:id="4"/>
      <w:bookmarkEnd w:id="5"/>
      <w:bookmarkEnd w:id="6"/>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7" w:name="_Toc119343918"/>
      <w:r w:rsidRPr="00E355EA">
        <w:rPr>
          <w:b/>
        </w:rPr>
        <w:t>ДОВЕРЕННОСТЬ  № ____</w:t>
      </w:r>
      <w:bookmarkEnd w:id="7"/>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8" w:name="_Toc411861133"/>
      <w:bookmarkStart w:id="9" w:name="_Toc457566977"/>
      <w:bookmarkStart w:id="10" w:name="_Toc457567131"/>
      <w:bookmarkStart w:id="11"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8"/>
      <w:bookmarkEnd w:id="9"/>
      <w:bookmarkEnd w:id="10"/>
    </w:p>
    <w:p w:rsidR="000C07B4" w:rsidRPr="000C07B4" w:rsidRDefault="000C07B4" w:rsidP="000C07B4">
      <w:pPr>
        <w:pStyle w:val="rvps9"/>
        <w:ind w:right="425"/>
        <w:jc w:val="center"/>
        <w:outlineLvl w:val="1"/>
        <w:rPr>
          <w:iCs/>
        </w:rPr>
      </w:pPr>
      <w:r w:rsidRPr="000C07B4">
        <w:rPr>
          <w:iCs/>
        </w:rPr>
        <w:t xml:space="preserve">      </w:t>
      </w:r>
      <w:bookmarkStart w:id="12" w:name="_Toc411861134"/>
      <w:bookmarkStart w:id="13" w:name="_Toc457566978"/>
      <w:bookmarkStart w:id="14" w:name="_Toc457567132"/>
      <w:r w:rsidRPr="000C07B4">
        <w:rPr>
          <w:iCs/>
        </w:rPr>
        <w:t>(оформляется на фирменном бланке участника размещения заказа)</w:t>
      </w:r>
      <w:bookmarkEnd w:id="12"/>
      <w:bookmarkEnd w:id="13"/>
      <w:bookmarkEnd w:id="14"/>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1"/>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5" w:name="_I.4.1_ФОРМА_ОПИСИ_ДОКУМЕНТОВ,_ПРЕДС"/>
      <w:bookmarkStart w:id="16" w:name="_III.1_ФОРМА_ОПИСИ_ДОКУМЕНТОВ,_ПРЕДС"/>
      <w:bookmarkStart w:id="17" w:name="_ОПИСЬ_ДОКУМЕНТОВ,_ПРЕДСТАВЛЯЕМЫХ"/>
      <w:bookmarkStart w:id="18" w:name="_Toc119343910"/>
      <w:bookmarkEnd w:id="15"/>
      <w:bookmarkEnd w:id="16"/>
      <w:bookmarkEnd w:id="17"/>
      <w:r w:rsidRPr="0079713E">
        <w:rPr>
          <w:b/>
        </w:rPr>
        <w:t xml:space="preserve">ОПИСЬ </w:t>
      </w:r>
      <w:bookmarkEnd w:id="18"/>
      <w:r w:rsidR="00633161">
        <w:rPr>
          <w:b/>
        </w:rPr>
        <w:t>МАТЕРИАЛОВ</w:t>
      </w:r>
      <w:r w:rsidRPr="0079713E">
        <w:rPr>
          <w:b/>
        </w:rPr>
        <w:t xml:space="preserve"> </w:t>
      </w:r>
    </w:p>
    <w:p w:rsidR="0060117C" w:rsidRDefault="001240CB" w:rsidP="0060117C">
      <w:pPr>
        <w:pStyle w:val="afb"/>
        <w:ind w:left="-284" w:firstLine="284"/>
        <w:jc w:val="center"/>
        <w:rPr>
          <w:b/>
          <w:sz w:val="26"/>
          <w:szCs w:val="26"/>
          <w:lang w:eastAsia="en-US"/>
        </w:rPr>
      </w:pPr>
      <w:r w:rsidRPr="001240CB">
        <w:rPr>
          <w:b/>
          <w:sz w:val="26"/>
          <w:szCs w:val="26"/>
          <w:lang w:eastAsia="en-US"/>
        </w:rPr>
        <w:t xml:space="preserve">поставку </w:t>
      </w:r>
      <w:r w:rsidR="0060117C">
        <w:rPr>
          <w:b/>
          <w:sz w:val="26"/>
          <w:szCs w:val="26"/>
          <w:lang w:eastAsia="en-US"/>
        </w:rPr>
        <w:t>офисной техники для нужд МФЦ Шатура</w:t>
      </w: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w:t>
      </w:r>
      <w:proofErr w:type="gramStart"/>
      <w:r w:rsidRPr="0079713E">
        <w:rPr>
          <w:i/>
          <w:szCs w:val="24"/>
        </w:rPr>
        <w:t>Участника  закупки</w:t>
      </w:r>
      <w:proofErr w:type="gramEnd"/>
      <w:r w:rsidRPr="0079713E">
        <w:rPr>
          <w:i/>
          <w:szCs w:val="24"/>
        </w:rPr>
        <w:t xml:space="preserve">)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19" w:name="_I.4.2_ФОРМА_ЗАЯВКИ_НА_УЧАСТИЕ_В_КОН"/>
      <w:bookmarkStart w:id="20" w:name="_III.2_ФОРМА_ЗАЯВКИ_НА_УЧАСТИЕ_В_КОН"/>
      <w:bookmarkEnd w:id="19"/>
      <w:bookmarkEnd w:id="20"/>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lastRenderedPageBreak/>
        <w:t>Приложение №</w:t>
      </w:r>
      <w:r w:rsidR="00F62DDA">
        <w:rPr>
          <w:color w:val="000000"/>
          <w:sz w:val="20"/>
          <w:szCs w:val="20"/>
        </w:rPr>
        <w:t xml:space="preserve"> </w:t>
      </w:r>
      <w:r w:rsidR="004E0631">
        <w:rPr>
          <w:color w:val="000000"/>
          <w:sz w:val="20"/>
          <w:szCs w:val="20"/>
        </w:rPr>
        <w:t>7</w:t>
      </w:r>
    </w:p>
    <w:p w:rsidR="00156D2E" w:rsidRDefault="0098678C" w:rsidP="008F7CFD">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w:t>
      </w:r>
    </w:p>
    <w:p w:rsidR="00A04B8C" w:rsidRDefault="0098678C" w:rsidP="008F7CFD">
      <w:pPr>
        <w:ind w:left="5670"/>
        <w:jc w:val="right"/>
        <w:rPr>
          <w:color w:val="000000"/>
          <w:sz w:val="20"/>
          <w:szCs w:val="20"/>
        </w:rPr>
      </w:pPr>
      <w:r w:rsidRPr="008F7CFD">
        <w:rPr>
          <w:color w:val="000000"/>
          <w:sz w:val="20"/>
          <w:szCs w:val="20"/>
        </w:rPr>
        <w:t xml:space="preserve"> (обоснование</w:t>
      </w:r>
      <w:r w:rsidR="008F7CFD">
        <w:rPr>
          <w:color w:val="000000"/>
          <w:sz w:val="20"/>
          <w:szCs w:val="20"/>
        </w:rPr>
        <w:t xml:space="preserve"> начальной (максимальной) цены)</w:t>
      </w:r>
    </w:p>
    <w:tbl>
      <w:tblPr>
        <w:tblW w:w="15343" w:type="dxa"/>
        <w:jc w:val="center"/>
        <w:tblLayout w:type="fixed"/>
        <w:tblLook w:val="04A0" w:firstRow="1" w:lastRow="0" w:firstColumn="1" w:lastColumn="0" w:noHBand="0" w:noVBand="1"/>
      </w:tblPr>
      <w:tblGrid>
        <w:gridCol w:w="885"/>
        <w:gridCol w:w="1950"/>
        <w:gridCol w:w="919"/>
        <w:gridCol w:w="766"/>
        <w:gridCol w:w="1859"/>
        <w:gridCol w:w="1544"/>
        <w:gridCol w:w="1544"/>
        <w:gridCol w:w="1327"/>
        <w:gridCol w:w="1631"/>
        <w:gridCol w:w="1244"/>
        <w:gridCol w:w="354"/>
        <w:gridCol w:w="1320"/>
      </w:tblGrid>
      <w:tr w:rsidR="00DF38E7" w:rsidRPr="00DF38E7" w:rsidTr="00936A3D">
        <w:trPr>
          <w:gridAfter w:val="2"/>
          <w:wAfter w:w="1674" w:type="dxa"/>
          <w:trHeight w:val="450"/>
          <w:jc w:val="center"/>
        </w:trPr>
        <w:tc>
          <w:tcPr>
            <w:tcW w:w="13669" w:type="dxa"/>
            <w:gridSpan w:val="10"/>
            <w:tcBorders>
              <w:top w:val="nil"/>
              <w:left w:val="nil"/>
              <w:bottom w:val="nil"/>
              <w:right w:val="nil"/>
            </w:tcBorders>
            <w:shd w:val="clear" w:color="auto" w:fill="auto"/>
            <w:hideMark/>
          </w:tcPr>
          <w:p w:rsidR="00DF38E7" w:rsidRDefault="00DF38E7" w:rsidP="00DF38E7">
            <w:pPr>
              <w:spacing w:after="240"/>
              <w:rPr>
                <w:b/>
                <w:bCs/>
                <w:color w:val="000000"/>
              </w:rPr>
            </w:pPr>
            <w:bookmarkStart w:id="21" w:name="RANGE!A1:M23"/>
          </w:p>
          <w:p w:rsidR="00DF38E7" w:rsidRPr="00DF38E7" w:rsidRDefault="00DF38E7" w:rsidP="00DF38E7">
            <w:pPr>
              <w:spacing w:after="240"/>
              <w:jc w:val="center"/>
              <w:rPr>
                <w:b/>
                <w:bCs/>
                <w:color w:val="000000"/>
              </w:rPr>
            </w:pPr>
            <w:r w:rsidRPr="00DF38E7">
              <w:rPr>
                <w:b/>
                <w:bCs/>
                <w:color w:val="000000"/>
              </w:rPr>
              <w:t>Обоснование начальной (максимальной) цены контракта, цены договора</w:t>
            </w:r>
            <w:bookmarkEnd w:id="21"/>
          </w:p>
        </w:tc>
      </w:tr>
      <w:tr w:rsidR="00DF38E7" w:rsidRPr="00DF38E7" w:rsidTr="00936A3D">
        <w:trPr>
          <w:trHeight w:val="330"/>
          <w:jc w:val="center"/>
        </w:trPr>
        <w:tc>
          <w:tcPr>
            <w:tcW w:w="885" w:type="dxa"/>
            <w:tcBorders>
              <w:top w:val="nil"/>
              <w:left w:val="nil"/>
              <w:bottom w:val="nil"/>
              <w:right w:val="nil"/>
            </w:tcBorders>
            <w:shd w:val="clear" w:color="auto" w:fill="auto"/>
            <w:noWrap/>
            <w:vAlign w:val="center"/>
            <w:hideMark/>
          </w:tcPr>
          <w:p w:rsidR="00DF38E7" w:rsidRPr="00DF38E7" w:rsidRDefault="00DF38E7" w:rsidP="00DF38E7">
            <w:pPr>
              <w:spacing w:after="240"/>
              <w:jc w:val="center"/>
              <w:rPr>
                <w:b/>
                <w:bCs/>
                <w:color w:val="000000"/>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jc w:val="center"/>
              <w:rPr>
                <w:sz w:val="20"/>
                <w:szCs w:val="20"/>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gridAfter w:val="2"/>
          <w:wAfter w:w="1674" w:type="dxa"/>
          <w:trHeight w:val="1395"/>
          <w:jc w:val="center"/>
        </w:trPr>
        <w:tc>
          <w:tcPr>
            <w:tcW w:w="13669" w:type="dxa"/>
            <w:gridSpan w:val="10"/>
            <w:tcBorders>
              <w:top w:val="nil"/>
              <w:left w:val="nil"/>
              <w:bottom w:val="nil"/>
              <w:right w:val="nil"/>
            </w:tcBorders>
            <w:shd w:val="clear" w:color="auto" w:fill="auto"/>
            <w:hideMark/>
          </w:tcPr>
          <w:p w:rsidR="0060117C" w:rsidRDefault="0060117C" w:rsidP="003245A7">
            <w:pPr>
              <w:rPr>
                <w:color w:val="000000"/>
              </w:rPr>
            </w:pPr>
          </w:p>
          <w:p w:rsidR="00DF38E7" w:rsidRPr="00DF38E7" w:rsidRDefault="0060117C" w:rsidP="00DF38E7">
            <w:pPr>
              <w:jc w:val="center"/>
              <w:rPr>
                <w:color w:val="000000"/>
              </w:rPr>
            </w:pPr>
            <w:bookmarkStart w:id="22" w:name="_GoBack"/>
            <w:bookmarkEnd w:id="22"/>
            <w:r w:rsidRPr="0060117C">
              <w:rPr>
                <w:color w:val="000000"/>
              </w:rPr>
              <w:t>поставку офи</w:t>
            </w:r>
            <w:r>
              <w:rPr>
                <w:color w:val="000000"/>
              </w:rPr>
              <w:t>сной техники для нужд МФЦ Шатура</w:t>
            </w:r>
          </w:p>
        </w:tc>
      </w:tr>
      <w:tr w:rsidR="00DF38E7" w:rsidRPr="00DF38E7" w:rsidTr="00936A3D">
        <w:trPr>
          <w:gridAfter w:val="2"/>
          <w:wAfter w:w="1674" w:type="dxa"/>
          <w:trHeight w:val="300"/>
          <w:jc w:val="center"/>
        </w:trPr>
        <w:tc>
          <w:tcPr>
            <w:tcW w:w="13669" w:type="dxa"/>
            <w:gridSpan w:val="10"/>
            <w:tcBorders>
              <w:top w:val="single" w:sz="4" w:space="0" w:color="auto"/>
              <w:left w:val="nil"/>
              <w:bottom w:val="nil"/>
              <w:right w:val="nil"/>
            </w:tcBorders>
            <w:shd w:val="clear" w:color="auto" w:fill="auto"/>
            <w:noWrap/>
            <w:vAlign w:val="bottom"/>
            <w:hideMark/>
          </w:tcPr>
          <w:p w:rsidR="00DF38E7" w:rsidRPr="00DF38E7" w:rsidRDefault="00DF38E7" w:rsidP="00DF38E7">
            <w:pPr>
              <w:jc w:val="center"/>
              <w:rPr>
                <w:i/>
                <w:iCs/>
                <w:color w:val="000000"/>
                <w:sz w:val="20"/>
                <w:szCs w:val="20"/>
              </w:rPr>
            </w:pPr>
            <w:r w:rsidRPr="00DF38E7">
              <w:rPr>
                <w:i/>
                <w:iCs/>
                <w:color w:val="000000"/>
                <w:sz w:val="20"/>
                <w:szCs w:val="20"/>
              </w:rPr>
              <w:t>(предмет контракта)</w:t>
            </w:r>
          </w:p>
        </w:tc>
      </w:tr>
      <w:tr w:rsidR="00DF38E7" w:rsidRPr="00DF38E7" w:rsidTr="00936A3D">
        <w:trPr>
          <w:trHeight w:val="165"/>
          <w:jc w:val="center"/>
        </w:trPr>
        <w:tc>
          <w:tcPr>
            <w:tcW w:w="885" w:type="dxa"/>
            <w:tcBorders>
              <w:top w:val="nil"/>
              <w:left w:val="nil"/>
              <w:bottom w:val="nil"/>
              <w:right w:val="nil"/>
            </w:tcBorders>
            <w:shd w:val="clear" w:color="auto" w:fill="auto"/>
            <w:noWrap/>
            <w:vAlign w:val="bottom"/>
            <w:hideMark/>
          </w:tcPr>
          <w:p w:rsidR="00DF38E7" w:rsidRPr="00DF38E7" w:rsidRDefault="00DF38E7" w:rsidP="00DF38E7">
            <w:pPr>
              <w:jc w:val="center"/>
              <w:rPr>
                <w:i/>
                <w:iCs/>
                <w:color w:val="000000"/>
                <w:sz w:val="20"/>
                <w:szCs w:val="20"/>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gridAfter w:val="2"/>
          <w:wAfter w:w="1674" w:type="dxa"/>
          <w:trHeight w:val="315"/>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8E7" w:rsidRPr="00DF38E7" w:rsidRDefault="00DF38E7" w:rsidP="00DF38E7">
            <w:pPr>
              <w:rPr>
                <w:b/>
                <w:bCs/>
                <w:color w:val="000000"/>
                <w:sz w:val="22"/>
                <w:szCs w:val="22"/>
              </w:rPr>
            </w:pPr>
            <w:r w:rsidRPr="00DF38E7">
              <w:rPr>
                <w:b/>
                <w:bCs/>
                <w:color w:val="000000"/>
                <w:sz w:val="22"/>
                <w:szCs w:val="22"/>
              </w:rPr>
              <w:t>Основные характеристики объекта закупки</w:t>
            </w:r>
          </w:p>
        </w:tc>
        <w:tc>
          <w:tcPr>
            <w:tcW w:w="10834" w:type="dxa"/>
            <w:gridSpan w:val="8"/>
            <w:tcBorders>
              <w:top w:val="single" w:sz="4" w:space="0" w:color="auto"/>
              <w:left w:val="nil"/>
              <w:bottom w:val="single" w:sz="4" w:space="0" w:color="auto"/>
              <w:right w:val="single" w:sz="4" w:space="0" w:color="auto"/>
            </w:tcBorders>
            <w:shd w:val="clear" w:color="auto" w:fill="auto"/>
            <w:noWrap/>
            <w:vAlign w:val="bottom"/>
            <w:hideMark/>
          </w:tcPr>
          <w:p w:rsidR="00DF38E7" w:rsidRPr="00DF38E7" w:rsidRDefault="00DF38E7" w:rsidP="00DF38E7">
            <w:pPr>
              <w:rPr>
                <w:color w:val="000000"/>
                <w:sz w:val="22"/>
                <w:szCs w:val="22"/>
              </w:rPr>
            </w:pPr>
            <w:r w:rsidRPr="00DF38E7">
              <w:rPr>
                <w:color w:val="000000"/>
                <w:sz w:val="22"/>
                <w:szCs w:val="22"/>
              </w:rPr>
              <w:t>В соответствии с техническими требованиями</w:t>
            </w:r>
          </w:p>
        </w:tc>
      </w:tr>
      <w:tr w:rsidR="00DF38E7" w:rsidRPr="00DF38E7" w:rsidTr="00936A3D">
        <w:trPr>
          <w:gridAfter w:val="2"/>
          <w:wAfter w:w="1674" w:type="dxa"/>
          <w:trHeight w:val="3135"/>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38E7" w:rsidRPr="00DF38E7" w:rsidRDefault="00DF38E7" w:rsidP="00DF38E7">
            <w:pPr>
              <w:rPr>
                <w:b/>
                <w:bCs/>
                <w:color w:val="000000"/>
                <w:sz w:val="22"/>
                <w:szCs w:val="22"/>
              </w:rPr>
            </w:pPr>
            <w:r w:rsidRPr="00DF38E7">
              <w:rPr>
                <w:b/>
                <w:bCs/>
                <w:color w:val="000000"/>
                <w:sz w:val="22"/>
                <w:szCs w:val="22"/>
              </w:rPr>
              <w:t xml:space="preserve">Используемый метод определения НМЦК </w:t>
            </w:r>
            <w:r w:rsidRPr="00DF38E7">
              <w:rPr>
                <w:b/>
                <w:bCs/>
                <w:color w:val="000000"/>
                <w:sz w:val="22"/>
                <w:szCs w:val="22"/>
              </w:rPr>
              <w:br/>
              <w:t>с обоснованием:</w:t>
            </w:r>
          </w:p>
        </w:tc>
        <w:tc>
          <w:tcPr>
            <w:tcW w:w="10834" w:type="dxa"/>
            <w:gridSpan w:val="8"/>
            <w:tcBorders>
              <w:top w:val="single" w:sz="4" w:space="0" w:color="auto"/>
              <w:left w:val="nil"/>
              <w:bottom w:val="single" w:sz="4" w:space="0" w:color="auto"/>
              <w:right w:val="single" w:sz="4" w:space="0" w:color="auto"/>
            </w:tcBorders>
            <w:shd w:val="clear" w:color="auto" w:fill="auto"/>
            <w:hideMark/>
          </w:tcPr>
          <w:p w:rsidR="00DF38E7" w:rsidRPr="00DF38E7" w:rsidRDefault="00DF38E7" w:rsidP="00DF38E7">
            <w:pPr>
              <w:rPr>
                <w:color w:val="000000"/>
                <w:sz w:val="22"/>
                <w:szCs w:val="22"/>
              </w:rPr>
            </w:pPr>
            <w:r w:rsidRPr="00DF38E7">
              <w:rPr>
                <w:color w:val="000000"/>
                <w:sz w:val="22"/>
                <w:szCs w:val="22"/>
              </w:rPr>
              <w:t>Метод сопоставимых рыночных цен (анализа рынка)</w:t>
            </w:r>
            <w:r w:rsidRPr="00DF38E7">
              <w:rPr>
                <w:color w:val="000000"/>
                <w:sz w:val="22"/>
                <w:szCs w:val="22"/>
              </w:rPr>
              <w:br/>
              <w:t>В соответствии с разделом III Положения о закупке Муниципального автономного учреждения Городского округа Шатура «Многофункциональный центр предоставления государственных и муниципальных услуг» метод сопоставимых рыночных цен (анализа рынка) является приоритетным для определения и обоснования начальной (максимальной) цены договора.</w:t>
            </w:r>
            <w:r w:rsidRPr="00DF38E7">
              <w:rPr>
                <w:color w:val="000000"/>
                <w:sz w:val="22"/>
                <w:szCs w:val="22"/>
              </w:rPr>
              <w:br/>
            </w:r>
            <w:r w:rsidRPr="00DF38E7">
              <w:rPr>
                <w:color w:val="000000"/>
                <w:sz w:val="22"/>
                <w:szCs w:val="22"/>
              </w:rPr>
              <w:br/>
              <w:t xml:space="preserve">В соответствии с ч. III Приказа Минэкономразвития РФ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в целях получения ценовой информации в отношении услуги (работы) для определения НМЦК направлены запросы предоставления ценовой информации исполнителям, обладающим опытом поставок соответствующих услуг (работ), информация о которых имеется в свободном доступе. </w:t>
            </w:r>
          </w:p>
        </w:tc>
      </w:tr>
      <w:tr w:rsidR="00DF38E7" w:rsidRPr="00DF38E7" w:rsidTr="00936A3D">
        <w:trPr>
          <w:trHeight w:val="300"/>
          <w:jc w:val="center"/>
        </w:trPr>
        <w:tc>
          <w:tcPr>
            <w:tcW w:w="885" w:type="dxa"/>
            <w:tcBorders>
              <w:top w:val="nil"/>
              <w:left w:val="nil"/>
              <w:bottom w:val="nil"/>
              <w:right w:val="nil"/>
            </w:tcBorders>
            <w:shd w:val="clear" w:color="auto" w:fill="auto"/>
            <w:noWrap/>
            <w:vAlign w:val="bottom"/>
            <w:hideMark/>
          </w:tcPr>
          <w:p w:rsidR="00DF38E7" w:rsidRPr="00DF38E7" w:rsidRDefault="00DF38E7" w:rsidP="00DF38E7">
            <w:pPr>
              <w:rPr>
                <w:color w:val="000000"/>
                <w:sz w:val="22"/>
                <w:szCs w:val="22"/>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544" w:type="dxa"/>
            <w:tcBorders>
              <w:top w:val="nil"/>
              <w:left w:val="nil"/>
              <w:bottom w:val="nil"/>
              <w:right w:val="nil"/>
            </w:tcBorders>
            <w:shd w:val="clear" w:color="auto" w:fill="auto"/>
            <w:noWrap/>
            <w:vAlign w:val="bottom"/>
            <w:hideMark/>
          </w:tcPr>
          <w:p w:rsidR="00DF38E7" w:rsidRDefault="00DF38E7"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Pr="00DF38E7" w:rsidRDefault="00954E42" w:rsidP="00DF38E7">
            <w:pPr>
              <w:rPr>
                <w:sz w:val="22"/>
                <w:szCs w:val="22"/>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r>
      <w:tr w:rsidR="00DF38E7" w:rsidRPr="00DF38E7" w:rsidTr="00936A3D">
        <w:trPr>
          <w:gridAfter w:val="2"/>
          <w:wAfter w:w="1674" w:type="dxa"/>
          <w:trHeight w:val="105"/>
          <w:jc w:val="center"/>
        </w:trPr>
        <w:tc>
          <w:tcPr>
            <w:tcW w:w="13669" w:type="dxa"/>
            <w:gridSpan w:val="10"/>
            <w:tcBorders>
              <w:top w:val="nil"/>
              <w:left w:val="nil"/>
              <w:bottom w:val="single" w:sz="4" w:space="0" w:color="auto"/>
              <w:right w:val="nil"/>
            </w:tcBorders>
            <w:shd w:val="clear" w:color="auto" w:fill="auto"/>
            <w:vAlign w:val="center"/>
            <w:hideMark/>
          </w:tcPr>
          <w:p w:rsidR="003245A7" w:rsidRDefault="00DF38E7" w:rsidP="003245A7">
            <w:pPr>
              <w:pStyle w:val="a3"/>
              <w:autoSpaceDE w:val="0"/>
              <w:rPr>
                <w:b/>
                <w:bCs/>
              </w:rPr>
            </w:pPr>
            <w:r w:rsidRPr="00DF38E7">
              <w:rPr>
                <w:b/>
                <w:bCs/>
                <w:i/>
                <w:iCs/>
                <w:color w:val="000000"/>
                <w:sz w:val="22"/>
                <w:szCs w:val="22"/>
              </w:rPr>
              <w:t xml:space="preserve">Расчет начальной (максимальной) цены контракта </w:t>
            </w:r>
            <w:proofErr w:type="gramStart"/>
            <w:r w:rsidR="003245A7">
              <w:rPr>
                <w:b/>
                <w:bCs/>
              </w:rPr>
              <w:t>Прилагается</w:t>
            </w:r>
            <w:proofErr w:type="gramEnd"/>
            <w:r w:rsidR="003245A7">
              <w:rPr>
                <w:b/>
                <w:bCs/>
              </w:rPr>
              <w:t xml:space="preserve"> отдельным файлом</w:t>
            </w:r>
            <w:r w:rsidR="003245A7">
              <w:rPr>
                <w:b/>
                <w:bCs/>
              </w:rPr>
              <w:t xml:space="preserve"> (приложение №3)</w:t>
            </w:r>
          </w:p>
          <w:p w:rsidR="00DF38E7" w:rsidRDefault="00DF38E7"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Pr="00DF38E7" w:rsidRDefault="0060117C" w:rsidP="00DF38E7">
            <w:pPr>
              <w:jc w:val="center"/>
              <w:rPr>
                <w:b/>
                <w:bCs/>
                <w:i/>
                <w:iCs/>
                <w:color w:val="000000"/>
                <w:sz w:val="22"/>
                <w:szCs w:val="22"/>
              </w:rPr>
            </w:pPr>
          </w:p>
        </w:tc>
      </w:tr>
      <w:tr w:rsidR="00DF38E7" w:rsidRPr="00DF38E7" w:rsidTr="00936A3D">
        <w:trPr>
          <w:trHeight w:val="315"/>
          <w:jc w:val="center"/>
        </w:trPr>
        <w:tc>
          <w:tcPr>
            <w:tcW w:w="885" w:type="dxa"/>
            <w:tcBorders>
              <w:top w:val="nil"/>
              <w:left w:val="nil"/>
              <w:bottom w:val="nil"/>
              <w:right w:val="nil"/>
            </w:tcBorders>
            <w:shd w:val="clear" w:color="auto" w:fill="auto"/>
            <w:hideMark/>
          </w:tcPr>
          <w:p w:rsidR="00DF38E7" w:rsidRPr="00DF38E7" w:rsidRDefault="00DF38E7" w:rsidP="00DF38E7"/>
        </w:tc>
        <w:tc>
          <w:tcPr>
            <w:tcW w:w="1950"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919"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hideMark/>
          </w:tcPr>
          <w:p w:rsidR="00DF38E7" w:rsidRPr="00DF38E7" w:rsidRDefault="00DF38E7" w:rsidP="00DF38E7">
            <w:pPr>
              <w:rPr>
                <w:sz w:val="20"/>
                <w:szCs w:val="20"/>
              </w:rPr>
            </w:pPr>
          </w:p>
        </w:tc>
      </w:tr>
      <w:tr w:rsidR="00DF38E7" w:rsidRPr="00DF38E7" w:rsidTr="00936A3D">
        <w:trPr>
          <w:trHeight w:val="315"/>
          <w:jc w:val="center"/>
        </w:trPr>
        <w:tc>
          <w:tcPr>
            <w:tcW w:w="9467" w:type="dxa"/>
            <w:gridSpan w:val="7"/>
            <w:tcBorders>
              <w:top w:val="nil"/>
              <w:left w:val="nil"/>
              <w:bottom w:val="nil"/>
              <w:right w:val="nil"/>
            </w:tcBorders>
            <w:shd w:val="clear" w:color="auto" w:fill="auto"/>
            <w:noWrap/>
            <w:vAlign w:val="bottom"/>
            <w:hideMark/>
          </w:tcPr>
          <w:p w:rsidR="00DF38E7" w:rsidRPr="00DF38E7" w:rsidRDefault="00DF38E7" w:rsidP="00936A3D">
            <w:pPr>
              <w:rPr>
                <w:color w:val="000000"/>
              </w:rPr>
            </w:pPr>
            <w:r w:rsidRPr="00DF38E7">
              <w:rPr>
                <w:color w:val="000000"/>
              </w:rPr>
              <w:t>Директор    __________</w:t>
            </w:r>
            <w:r w:rsidR="003571C1">
              <w:rPr>
                <w:color w:val="000000"/>
              </w:rPr>
              <w:t>__________/Ю.М. Ильичева/     "0</w:t>
            </w:r>
            <w:r w:rsidR="00936A3D">
              <w:rPr>
                <w:color w:val="000000"/>
              </w:rPr>
              <w:t>4</w:t>
            </w:r>
            <w:r w:rsidRPr="00DF38E7">
              <w:rPr>
                <w:color w:val="000000"/>
              </w:rPr>
              <w:t xml:space="preserve">" </w:t>
            </w:r>
            <w:r w:rsidR="003571C1">
              <w:rPr>
                <w:color w:val="000000"/>
              </w:rPr>
              <w:t>июн</w:t>
            </w:r>
            <w:r w:rsidR="00954E42">
              <w:rPr>
                <w:color w:val="000000"/>
              </w:rPr>
              <w:t>я</w:t>
            </w:r>
            <w:r w:rsidRPr="00DF38E7">
              <w:rPr>
                <w:color w:val="000000"/>
              </w:rPr>
              <w:t xml:space="preserve"> 2021 года</w:t>
            </w: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color w:val="00000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trHeight w:val="315"/>
          <w:jc w:val="center"/>
        </w:trPr>
        <w:tc>
          <w:tcPr>
            <w:tcW w:w="9467" w:type="dxa"/>
            <w:gridSpan w:val="7"/>
            <w:tcBorders>
              <w:top w:val="nil"/>
              <w:left w:val="nil"/>
              <w:bottom w:val="nil"/>
              <w:right w:val="nil"/>
            </w:tcBorders>
            <w:shd w:val="clear" w:color="auto" w:fill="auto"/>
            <w:noWrap/>
            <w:vAlign w:val="bottom"/>
            <w:hideMark/>
          </w:tcPr>
          <w:p w:rsidR="00DF38E7" w:rsidRPr="00DF38E7" w:rsidRDefault="00DF38E7" w:rsidP="00DF38E7">
            <w:pPr>
              <w:rPr>
                <w:color w:val="000000"/>
                <w:sz w:val="16"/>
                <w:szCs w:val="16"/>
              </w:rPr>
            </w:pPr>
            <w:r w:rsidRPr="00DF38E7">
              <w:rPr>
                <w:color w:val="000000"/>
                <w:sz w:val="16"/>
                <w:szCs w:val="16"/>
              </w:rPr>
              <w:t xml:space="preserve">     должность                        подпись                                       Ф.И.О.</w:t>
            </w: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color w:val="000000"/>
                <w:sz w:val="16"/>
                <w:szCs w:val="16"/>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bl>
    <w:p w:rsidR="0000393E" w:rsidRPr="008F7CFD" w:rsidRDefault="0000393E" w:rsidP="008F7CFD">
      <w:pPr>
        <w:ind w:left="5670"/>
        <w:jc w:val="right"/>
        <w:rPr>
          <w:color w:val="000000"/>
          <w:sz w:val="20"/>
          <w:szCs w:val="20"/>
        </w:rPr>
      </w:pPr>
    </w:p>
    <w:sectPr w:rsidR="0000393E" w:rsidRPr="008F7CFD" w:rsidSect="003245A7">
      <w:pgSz w:w="16838" w:h="11906" w:orient="landscape" w:code="9"/>
      <w:pgMar w:top="567" w:right="253"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15D" w:rsidRDefault="000E515D" w:rsidP="00270664">
      <w:r>
        <w:separator/>
      </w:r>
    </w:p>
  </w:endnote>
  <w:endnote w:type="continuationSeparator" w:id="0">
    <w:p w:rsidR="000E515D" w:rsidRDefault="000E515D"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15D" w:rsidRDefault="000E515D" w:rsidP="00270664">
      <w:r>
        <w:separator/>
      </w:r>
    </w:p>
  </w:footnote>
  <w:footnote w:type="continuationSeparator" w:id="0">
    <w:p w:rsidR="000E515D" w:rsidRDefault="000E515D" w:rsidP="0027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393E"/>
    <w:rsid w:val="00012D1D"/>
    <w:rsid w:val="0001578D"/>
    <w:rsid w:val="00025D3B"/>
    <w:rsid w:val="0005250D"/>
    <w:rsid w:val="000546EB"/>
    <w:rsid w:val="00061DCE"/>
    <w:rsid w:val="00071864"/>
    <w:rsid w:val="0008182C"/>
    <w:rsid w:val="0008244E"/>
    <w:rsid w:val="00094FCF"/>
    <w:rsid w:val="00095C6C"/>
    <w:rsid w:val="000A205B"/>
    <w:rsid w:val="000A6160"/>
    <w:rsid w:val="000B10E9"/>
    <w:rsid w:val="000B212D"/>
    <w:rsid w:val="000B303A"/>
    <w:rsid w:val="000B67E6"/>
    <w:rsid w:val="000C07B4"/>
    <w:rsid w:val="000C3F75"/>
    <w:rsid w:val="000C4155"/>
    <w:rsid w:val="000C7C7D"/>
    <w:rsid w:val="000D1EFC"/>
    <w:rsid w:val="000D3899"/>
    <w:rsid w:val="000E13F3"/>
    <w:rsid w:val="000E3764"/>
    <w:rsid w:val="000E515D"/>
    <w:rsid w:val="000E609B"/>
    <w:rsid w:val="000F260B"/>
    <w:rsid w:val="000F2EBA"/>
    <w:rsid w:val="000F5491"/>
    <w:rsid w:val="00106B32"/>
    <w:rsid w:val="00120E04"/>
    <w:rsid w:val="0012112C"/>
    <w:rsid w:val="001240CB"/>
    <w:rsid w:val="00131527"/>
    <w:rsid w:val="00150D3A"/>
    <w:rsid w:val="00153EA0"/>
    <w:rsid w:val="00156D2E"/>
    <w:rsid w:val="00157137"/>
    <w:rsid w:val="001572B6"/>
    <w:rsid w:val="00160DE0"/>
    <w:rsid w:val="0017062F"/>
    <w:rsid w:val="00177B80"/>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508"/>
    <w:rsid w:val="00231827"/>
    <w:rsid w:val="00233AA8"/>
    <w:rsid w:val="00233D90"/>
    <w:rsid w:val="00241111"/>
    <w:rsid w:val="00245BB4"/>
    <w:rsid w:val="00247A46"/>
    <w:rsid w:val="00247B9B"/>
    <w:rsid w:val="00260F44"/>
    <w:rsid w:val="00263F6A"/>
    <w:rsid w:val="00265DE7"/>
    <w:rsid w:val="00270664"/>
    <w:rsid w:val="00273C89"/>
    <w:rsid w:val="00287B14"/>
    <w:rsid w:val="00290F3C"/>
    <w:rsid w:val="00292B23"/>
    <w:rsid w:val="002A0428"/>
    <w:rsid w:val="002C15BB"/>
    <w:rsid w:val="002C219A"/>
    <w:rsid w:val="002D12C0"/>
    <w:rsid w:val="002D347A"/>
    <w:rsid w:val="002D44F7"/>
    <w:rsid w:val="002D7812"/>
    <w:rsid w:val="002D7DA2"/>
    <w:rsid w:val="002F0258"/>
    <w:rsid w:val="003005CB"/>
    <w:rsid w:val="00302ABF"/>
    <w:rsid w:val="00303608"/>
    <w:rsid w:val="00305A8B"/>
    <w:rsid w:val="00306E33"/>
    <w:rsid w:val="0031056E"/>
    <w:rsid w:val="00316028"/>
    <w:rsid w:val="003245A7"/>
    <w:rsid w:val="00325B74"/>
    <w:rsid w:val="00332408"/>
    <w:rsid w:val="003350A4"/>
    <w:rsid w:val="00353D58"/>
    <w:rsid w:val="003571C1"/>
    <w:rsid w:val="003615FD"/>
    <w:rsid w:val="003659C8"/>
    <w:rsid w:val="003710DA"/>
    <w:rsid w:val="003733B0"/>
    <w:rsid w:val="003740E9"/>
    <w:rsid w:val="00377E6A"/>
    <w:rsid w:val="003809A1"/>
    <w:rsid w:val="003950D7"/>
    <w:rsid w:val="00395376"/>
    <w:rsid w:val="003956BC"/>
    <w:rsid w:val="003A229D"/>
    <w:rsid w:val="003A6F4B"/>
    <w:rsid w:val="003B0F62"/>
    <w:rsid w:val="003E1772"/>
    <w:rsid w:val="003F5A72"/>
    <w:rsid w:val="004112C8"/>
    <w:rsid w:val="00412A65"/>
    <w:rsid w:val="00416D50"/>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1422D"/>
    <w:rsid w:val="005210B9"/>
    <w:rsid w:val="005312BA"/>
    <w:rsid w:val="00532066"/>
    <w:rsid w:val="00534C09"/>
    <w:rsid w:val="0053717C"/>
    <w:rsid w:val="0054259D"/>
    <w:rsid w:val="00554D07"/>
    <w:rsid w:val="005558C2"/>
    <w:rsid w:val="00556C02"/>
    <w:rsid w:val="00566636"/>
    <w:rsid w:val="0056757A"/>
    <w:rsid w:val="00570B3D"/>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0117C"/>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9131D"/>
    <w:rsid w:val="006A0CEB"/>
    <w:rsid w:val="006A0F3D"/>
    <w:rsid w:val="006A1A40"/>
    <w:rsid w:val="006A5463"/>
    <w:rsid w:val="006C68D6"/>
    <w:rsid w:val="006C78BC"/>
    <w:rsid w:val="006D3E09"/>
    <w:rsid w:val="006D3EE4"/>
    <w:rsid w:val="006D4223"/>
    <w:rsid w:val="006D5C58"/>
    <w:rsid w:val="006D7D51"/>
    <w:rsid w:val="006E1E93"/>
    <w:rsid w:val="006E2DFA"/>
    <w:rsid w:val="006E5392"/>
    <w:rsid w:val="006F233D"/>
    <w:rsid w:val="006F345C"/>
    <w:rsid w:val="007066BB"/>
    <w:rsid w:val="00724E97"/>
    <w:rsid w:val="0073309F"/>
    <w:rsid w:val="007331DF"/>
    <w:rsid w:val="007429B5"/>
    <w:rsid w:val="00742B88"/>
    <w:rsid w:val="00750AD9"/>
    <w:rsid w:val="00752CB2"/>
    <w:rsid w:val="00766183"/>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13B"/>
    <w:rsid w:val="00905937"/>
    <w:rsid w:val="009144B6"/>
    <w:rsid w:val="00925EDA"/>
    <w:rsid w:val="009260A5"/>
    <w:rsid w:val="009273D6"/>
    <w:rsid w:val="0093073F"/>
    <w:rsid w:val="00931076"/>
    <w:rsid w:val="00933F60"/>
    <w:rsid w:val="00934C65"/>
    <w:rsid w:val="00936A3D"/>
    <w:rsid w:val="00937676"/>
    <w:rsid w:val="00940608"/>
    <w:rsid w:val="00940E5C"/>
    <w:rsid w:val="009412BF"/>
    <w:rsid w:val="009501CC"/>
    <w:rsid w:val="00953A34"/>
    <w:rsid w:val="00954E42"/>
    <w:rsid w:val="00962731"/>
    <w:rsid w:val="009634C8"/>
    <w:rsid w:val="009672F0"/>
    <w:rsid w:val="00970905"/>
    <w:rsid w:val="00970D6D"/>
    <w:rsid w:val="009824FB"/>
    <w:rsid w:val="00983FE1"/>
    <w:rsid w:val="00984D3B"/>
    <w:rsid w:val="00984FCF"/>
    <w:rsid w:val="0098678C"/>
    <w:rsid w:val="00987EF5"/>
    <w:rsid w:val="00993359"/>
    <w:rsid w:val="00993373"/>
    <w:rsid w:val="00995AD6"/>
    <w:rsid w:val="009A0DE7"/>
    <w:rsid w:val="009A3599"/>
    <w:rsid w:val="009B07B3"/>
    <w:rsid w:val="009B14DA"/>
    <w:rsid w:val="009B613D"/>
    <w:rsid w:val="009C02A8"/>
    <w:rsid w:val="009D3D25"/>
    <w:rsid w:val="009D5634"/>
    <w:rsid w:val="009E0A36"/>
    <w:rsid w:val="009E0D90"/>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AF253C"/>
    <w:rsid w:val="00AF2A73"/>
    <w:rsid w:val="00B04A43"/>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D77"/>
    <w:rsid w:val="00BE6E85"/>
    <w:rsid w:val="00BF2B93"/>
    <w:rsid w:val="00BF496A"/>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E667C"/>
    <w:rsid w:val="00CF5781"/>
    <w:rsid w:val="00CF6947"/>
    <w:rsid w:val="00D03B50"/>
    <w:rsid w:val="00D05432"/>
    <w:rsid w:val="00D056CA"/>
    <w:rsid w:val="00D06566"/>
    <w:rsid w:val="00D13A14"/>
    <w:rsid w:val="00D16119"/>
    <w:rsid w:val="00D31B38"/>
    <w:rsid w:val="00D34695"/>
    <w:rsid w:val="00D518C8"/>
    <w:rsid w:val="00D665C2"/>
    <w:rsid w:val="00D73571"/>
    <w:rsid w:val="00D81F93"/>
    <w:rsid w:val="00D95EE2"/>
    <w:rsid w:val="00DA53BA"/>
    <w:rsid w:val="00DB3CAB"/>
    <w:rsid w:val="00DC1D2D"/>
    <w:rsid w:val="00DC7B59"/>
    <w:rsid w:val="00DD5320"/>
    <w:rsid w:val="00DD731F"/>
    <w:rsid w:val="00DF0A88"/>
    <w:rsid w:val="00DF27DD"/>
    <w:rsid w:val="00DF38E7"/>
    <w:rsid w:val="00DF3FC2"/>
    <w:rsid w:val="00E05C25"/>
    <w:rsid w:val="00E15ABF"/>
    <w:rsid w:val="00E16A65"/>
    <w:rsid w:val="00E355EA"/>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D060A"/>
    <w:rsid w:val="00ED5522"/>
    <w:rsid w:val="00EE258E"/>
    <w:rsid w:val="00EE2AD1"/>
    <w:rsid w:val="00EE5DA5"/>
    <w:rsid w:val="00EE60C6"/>
    <w:rsid w:val="00EE6DB5"/>
    <w:rsid w:val="00F26F93"/>
    <w:rsid w:val="00F33DD8"/>
    <w:rsid w:val="00F34859"/>
    <w:rsid w:val="00F46FD3"/>
    <w:rsid w:val="00F50FCE"/>
    <w:rsid w:val="00F62DDA"/>
    <w:rsid w:val="00F6440F"/>
    <w:rsid w:val="00F64A31"/>
    <w:rsid w:val="00F668BF"/>
    <w:rsid w:val="00F8654F"/>
    <w:rsid w:val="00F91479"/>
    <w:rsid w:val="00F91B37"/>
    <w:rsid w:val="00F97AF8"/>
    <w:rsid w:val="00FA07A7"/>
    <w:rsid w:val="00FA4645"/>
    <w:rsid w:val="00FA7EF9"/>
    <w:rsid w:val="00FE0172"/>
    <w:rsid w:val="00FE44FB"/>
    <w:rsid w:val="00FE54C8"/>
    <w:rsid w:val="00FE6802"/>
    <w:rsid w:val="00FE74EE"/>
    <w:rsid w:val="00FF370D"/>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5CAC1E"/>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554">
      <w:bodyDiv w:val="1"/>
      <w:marLeft w:val="0"/>
      <w:marRight w:val="0"/>
      <w:marTop w:val="0"/>
      <w:marBottom w:val="0"/>
      <w:divBdr>
        <w:top w:val="none" w:sz="0" w:space="0" w:color="auto"/>
        <w:left w:val="none" w:sz="0" w:space="0" w:color="auto"/>
        <w:bottom w:val="none" w:sz="0" w:space="0" w:color="auto"/>
        <w:right w:val="none" w:sz="0" w:space="0" w:color="auto"/>
      </w:divBdr>
    </w:div>
    <w:div w:id="349067740">
      <w:bodyDiv w:val="1"/>
      <w:marLeft w:val="0"/>
      <w:marRight w:val="0"/>
      <w:marTop w:val="0"/>
      <w:marBottom w:val="0"/>
      <w:divBdr>
        <w:top w:val="none" w:sz="0" w:space="0" w:color="auto"/>
        <w:left w:val="none" w:sz="0" w:space="0" w:color="auto"/>
        <w:bottom w:val="none" w:sz="0" w:space="0" w:color="auto"/>
        <w:right w:val="none" w:sz="0" w:space="0" w:color="auto"/>
      </w:divBdr>
    </w:div>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474685973">
      <w:bodyDiv w:val="1"/>
      <w:marLeft w:val="0"/>
      <w:marRight w:val="0"/>
      <w:marTop w:val="0"/>
      <w:marBottom w:val="0"/>
      <w:divBdr>
        <w:top w:val="none" w:sz="0" w:space="0" w:color="auto"/>
        <w:left w:val="none" w:sz="0" w:space="0" w:color="auto"/>
        <w:bottom w:val="none" w:sz="0" w:space="0" w:color="auto"/>
        <w:right w:val="none" w:sz="0" w:space="0" w:color="auto"/>
      </w:divBdr>
    </w:div>
    <w:div w:id="548998050">
      <w:bodyDiv w:val="1"/>
      <w:marLeft w:val="0"/>
      <w:marRight w:val="0"/>
      <w:marTop w:val="0"/>
      <w:marBottom w:val="0"/>
      <w:divBdr>
        <w:top w:val="none" w:sz="0" w:space="0" w:color="auto"/>
        <w:left w:val="none" w:sz="0" w:space="0" w:color="auto"/>
        <w:bottom w:val="none" w:sz="0" w:space="0" w:color="auto"/>
        <w:right w:val="none" w:sz="0" w:space="0" w:color="auto"/>
      </w:divBdr>
    </w:div>
    <w:div w:id="659845842">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15932868">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D1AB2-2469-446E-92C1-EC7A9632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10977</Words>
  <Characters>62569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User21</cp:lastModifiedBy>
  <cp:revision>2</cp:revision>
  <cp:lastPrinted>2019-01-24T11:42:00Z</cp:lastPrinted>
  <dcterms:created xsi:type="dcterms:W3CDTF">2021-08-10T10:52:00Z</dcterms:created>
  <dcterms:modified xsi:type="dcterms:W3CDTF">2021-08-10T10:52:00Z</dcterms:modified>
</cp:coreProperties>
</file>