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03.20.04.09</w:t>
            </w:r>
            <w:r w:rsidR="005E1E29">
              <w:rPr>
                <w:b/>
              </w:rPr>
              <w:t xml:space="preserve"> / </w:t>
            </w:r>
            <w:r w:rsidR="005E1E29">
              <w:t>41.20.40.900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(содержанию) больницы</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03.20.04.09</w:t>
            </w:r>
            <w:r w:rsidR="005E1E29">
              <w:rPr>
                <w:b/>
              </w:rPr>
              <w:t xml:space="preserve"> / </w:t>
            </w:r>
            <w:r w:rsidR="005E1E29">
              <w:t>41.20.40.900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(содержанию) больницы</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аварийному обслуживанию внутренних инженерных систем и оборудования ГАУЗ МО «ДГБ»</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Работы по техническому обслуживанию (содержанию) больницы</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345 000,00 руб.</w:t>
            </w:r>
            <w:r w:rsidR="0066751E">
              <w:t>*</w:t>
            </w:r>
          </w:p>
          <w:p w:rsidRPr="00445533" w:rsidR="00E32011" w:rsidP="0034747E" w:rsidRDefault="000F5335" w14:paraId="1575AC1F" w14:textId="7D57870B">
            <w:pPr>
              <w:ind w:firstLine="0"/>
            </w:pPr>
            <w:r w:rsidRPr="00445533" w:rsidR="00E870E6">
              <w:t>Работы по техническому обслуживанию (содержанию) больницы</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645 000,00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выполненных работ по аварийному обслуживанию внутренних инженерных систем и оборудования ГАУЗ МО «ДГБ»</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аварийному обслуживанию внутренних инженерных систем и оборудования ГАУЗ МО «ДГБ»)</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аварийному обслуживанию внутренних инженерных систем и оборудования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выполненных работ по аварийному обслуживанию внутренних инженерных систем и оборудования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аварийному обслуживанию внутренних инженерных систем и оборудования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аварийному обслуживанию внутренних инженерных систем и оборудования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066271-22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