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02.26.05.01</w:t>
            </w:r>
            <w:r w:rsidR="005E1E29">
              <w:rPr>
                <w:b/>
              </w:rPr>
              <w:t xml:space="preserve"> / </w:t>
            </w:r>
            <w:r w:rsidR="005E1E29">
              <w:t>80.10.19.000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(содержанию) систем пожарной сигнализации</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02.26.05.01</w:t>
            </w:r>
            <w:r w:rsidR="005E1E29">
              <w:rPr>
                <w:b/>
              </w:rPr>
              <w:t xml:space="preserve"> / </w:t>
            </w:r>
            <w:r w:rsidR="005E1E29">
              <w:t>80.10.19.000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(содержанию) систем пожарной сигнализации</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Оказание услуг по техническому обслуживанию систем пожарной автоматики в зданиях и помещениях ГАУЗ МО «ДГБ»</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(содержанию) систем пожарной сигнализации</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(содержанию) систем пожарной сигнализации</w:t>
            </w:r>
            <w:r w:rsidR="00473384">
              <w:rPr>
                <w:lang w:val="en-US"/>
              </w:rPr>
              <w:t xml:space="preserve">; </w:t>
            </w:r>
            <w:r w:rsidR="00473384">
              <w:rPr>
                <w:lang w:val="en-US"/>
              </w:rPr>
              <w:t>6,00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30.06.2022 (МСК)</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оказание услуг по техническому обслуживанию систем пожарной автоматики в зданиях и помещениях ГАУЗ МО «ДГБ»</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систем пожарной автоматики в зданиях и помещениях ГАУЗ МО «ДГБ»)</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 30, улица Володарского, дом 2Б,, улица 9 Мая, дом 7В, стр.1, улица Вавилова, д. 1, улица Энтузиастов, д. 19/2</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Оказание услуг по техническому обслуживанию систем пожарной автоматики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оказание услуг по техническому обслуживанию систем пожарной автоматики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Оказание услуг по техническому обслуживанию систем пожарной автоматики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Оказание услуг по техническому обслуживанию систем пожарной автоматики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116320-21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