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7D" w:rsidRPr="00593CD9" w:rsidRDefault="0065287D" w:rsidP="00D756A3">
      <w:pPr>
        <w:pStyle w:val="a6"/>
        <w:jc w:val="center"/>
        <w:rPr>
          <w:b/>
          <w:sz w:val="28"/>
          <w:szCs w:val="28"/>
        </w:rPr>
      </w:pPr>
      <w:r w:rsidRPr="00593CD9">
        <w:rPr>
          <w:b/>
          <w:sz w:val="28"/>
          <w:szCs w:val="28"/>
        </w:rPr>
        <w:t>Требования к функциональным, техническим и качественным, эксплуатационным характеристикам товара</w:t>
      </w:r>
    </w:p>
    <w:p w:rsidR="0065287D" w:rsidRPr="00593CD9" w:rsidRDefault="0065287D" w:rsidP="00D756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2426"/>
        <w:gridCol w:w="1134"/>
        <w:gridCol w:w="3118"/>
        <w:gridCol w:w="1841"/>
        <w:gridCol w:w="1559"/>
        <w:gridCol w:w="2132"/>
        <w:gridCol w:w="1562"/>
        <w:gridCol w:w="27"/>
      </w:tblGrid>
      <w:tr w:rsidR="0065287D" w:rsidRPr="00F504FF" w:rsidTr="00593CD9">
        <w:trPr>
          <w:trHeight w:val="349"/>
        </w:trPr>
        <w:tc>
          <w:tcPr>
            <w:tcW w:w="830" w:type="dxa"/>
            <w:vMerge w:val="restart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№</w:t>
            </w:r>
          </w:p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593CD9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93CD9">
              <w:rPr>
                <w:bCs/>
                <w:sz w:val="24"/>
                <w:szCs w:val="24"/>
              </w:rPr>
              <w:t>/</w:t>
            </w:r>
            <w:proofErr w:type="spellStart"/>
            <w:r w:rsidRPr="00593CD9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6" w:type="dxa"/>
            <w:vMerge w:val="restart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vMerge w:val="restart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Указание на товарный знак (модель, производитель) (при наличии)</w:t>
            </w:r>
          </w:p>
        </w:tc>
        <w:tc>
          <w:tcPr>
            <w:tcW w:w="10239" w:type="dxa"/>
            <w:gridSpan w:val="6"/>
          </w:tcPr>
          <w:p w:rsidR="0065287D" w:rsidRPr="00F504FF" w:rsidRDefault="0065287D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4FF">
              <w:rPr>
                <w:rFonts w:ascii="Times New Roman" w:hAnsi="Times New Roman"/>
                <w:bCs/>
                <w:sz w:val="24"/>
                <w:szCs w:val="24"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</w:tr>
      <w:tr w:rsidR="0065287D" w:rsidRPr="00F504FF" w:rsidTr="00593CD9">
        <w:trPr>
          <w:gridAfter w:val="1"/>
          <w:wAfter w:w="27" w:type="dxa"/>
          <w:trHeight w:val="275"/>
        </w:trPr>
        <w:tc>
          <w:tcPr>
            <w:tcW w:w="830" w:type="dxa"/>
            <w:vMerge/>
            <w:vAlign w:val="center"/>
          </w:tcPr>
          <w:p w:rsidR="0065287D" w:rsidRPr="00593CD9" w:rsidRDefault="0065287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26" w:type="dxa"/>
            <w:vMerge/>
            <w:vAlign w:val="center"/>
          </w:tcPr>
          <w:p w:rsidR="0065287D" w:rsidRPr="00593CD9" w:rsidRDefault="0065287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5287D" w:rsidRPr="00593CD9" w:rsidRDefault="0065287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1" w:type="dxa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Требуемое значение показателя, установленное заказчиком</w:t>
            </w:r>
          </w:p>
        </w:tc>
        <w:tc>
          <w:tcPr>
            <w:tcW w:w="1559" w:type="dxa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32" w:type="dxa"/>
          </w:tcPr>
          <w:p w:rsidR="0065287D" w:rsidRPr="00F504FF" w:rsidRDefault="0065287D" w:rsidP="00B34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4FF">
              <w:rPr>
                <w:rFonts w:ascii="Times New Roman" w:hAnsi="Times New Roman"/>
                <w:bCs/>
                <w:sz w:val="24"/>
                <w:szCs w:val="24"/>
              </w:rPr>
              <w:t>Значение показателя, предлагаемое участником</w:t>
            </w:r>
          </w:p>
          <w:p w:rsidR="0065287D" w:rsidRPr="00593CD9" w:rsidRDefault="0065287D" w:rsidP="00B34EF5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(наименование модели, страна производитель, номер действующего регистрационного удостоверения)</w:t>
            </w:r>
          </w:p>
        </w:tc>
        <w:tc>
          <w:tcPr>
            <w:tcW w:w="1562" w:type="dxa"/>
            <w:vAlign w:val="center"/>
          </w:tcPr>
          <w:p w:rsidR="0065287D" w:rsidRPr="00593CD9" w:rsidRDefault="0065287D" w:rsidP="00F85F81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Количество</w:t>
            </w:r>
          </w:p>
        </w:tc>
      </w:tr>
      <w:tr w:rsidR="0065287D" w:rsidRPr="00F504FF" w:rsidTr="00593CD9">
        <w:trPr>
          <w:gridAfter w:val="1"/>
          <w:wAfter w:w="27" w:type="dxa"/>
          <w:trHeight w:val="217"/>
        </w:trPr>
        <w:tc>
          <w:tcPr>
            <w:tcW w:w="830" w:type="dxa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26" w:type="dxa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93CD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93CD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93CD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:rsidR="0065287D" w:rsidRPr="00593CD9" w:rsidRDefault="0065287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5287D" w:rsidRPr="00593CD9" w:rsidRDefault="0065287D" w:rsidP="00C62036">
            <w:pPr>
              <w:pStyle w:val="a6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93CD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65287D" w:rsidRPr="00593CD9" w:rsidRDefault="0065287D" w:rsidP="00C62036">
            <w:pPr>
              <w:pStyle w:val="a6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93CD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65287D" w:rsidRPr="00593CD9" w:rsidRDefault="0065287D" w:rsidP="00C62036">
            <w:pPr>
              <w:pStyle w:val="a6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93CD9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5287D" w:rsidRPr="00F504FF" w:rsidTr="00593CD9">
        <w:trPr>
          <w:gridAfter w:val="1"/>
          <w:wAfter w:w="27" w:type="dxa"/>
          <w:trHeight w:val="275"/>
        </w:trPr>
        <w:tc>
          <w:tcPr>
            <w:tcW w:w="830" w:type="dxa"/>
            <w:vMerge w:val="restart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26" w:type="dxa"/>
            <w:vMerge w:val="restart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Набор реагентов для выявления РНК вируса SARS-CoV-2 в биологическом материале методом </w:t>
            </w:r>
            <w:proofErr w:type="spellStart"/>
            <w:r w:rsidRPr="00593CD9">
              <w:rPr>
                <w:bCs/>
                <w:sz w:val="24"/>
                <w:szCs w:val="24"/>
              </w:rPr>
              <w:t>полимеразной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цепной реакции (ПЦР) с </w:t>
            </w:r>
            <w:proofErr w:type="spellStart"/>
            <w:r w:rsidRPr="00593CD9">
              <w:rPr>
                <w:bCs/>
                <w:sz w:val="24"/>
                <w:szCs w:val="24"/>
              </w:rPr>
              <w:t>гибридизационно-флуоресцентной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93CD9">
              <w:rPr>
                <w:bCs/>
                <w:sz w:val="24"/>
                <w:szCs w:val="24"/>
              </w:rPr>
              <w:t>детекцией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«SARS-CoV-2-ПЦР»</w:t>
            </w:r>
          </w:p>
        </w:tc>
        <w:tc>
          <w:tcPr>
            <w:tcW w:w="1134" w:type="dxa"/>
            <w:vMerge w:val="restart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Область применения – клиническая лабораторная диагностика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5274BF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</w:t>
            </w:r>
            <w:r w:rsidR="0065287D" w:rsidRPr="00593CD9">
              <w:rPr>
                <w:bCs/>
                <w:sz w:val="24"/>
                <w:szCs w:val="24"/>
              </w:rPr>
              <w:t xml:space="preserve"> </w:t>
            </w:r>
            <w:r w:rsidR="0065287D">
              <w:rPr>
                <w:bCs/>
                <w:sz w:val="24"/>
                <w:szCs w:val="24"/>
              </w:rPr>
              <w:t>наборов</w:t>
            </w:r>
          </w:p>
        </w:tc>
      </w:tr>
      <w:tr w:rsidR="0065287D" w:rsidRPr="00F504FF" w:rsidTr="00593CD9">
        <w:trPr>
          <w:gridAfter w:val="1"/>
          <w:wAfter w:w="27" w:type="dxa"/>
          <w:trHeight w:val="275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93CD9">
              <w:rPr>
                <w:bCs/>
                <w:sz w:val="24"/>
                <w:szCs w:val="24"/>
              </w:rPr>
              <w:t>Регистрационное</w:t>
            </w:r>
            <w:proofErr w:type="gramEnd"/>
            <w:r w:rsidRPr="00593CD9">
              <w:rPr>
                <w:bCs/>
                <w:sz w:val="24"/>
                <w:szCs w:val="24"/>
              </w:rPr>
              <w:t xml:space="preserve"> удостоверения изделия медицинского назначения, выданного </w:t>
            </w:r>
            <w:proofErr w:type="spellStart"/>
            <w:r w:rsidRPr="00593CD9">
              <w:rPr>
                <w:bCs/>
                <w:sz w:val="24"/>
                <w:szCs w:val="24"/>
              </w:rPr>
              <w:t>Росздравнадзором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в установленном порядке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75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Исследуемый материал – мазки из </w:t>
            </w:r>
            <w:proofErr w:type="spellStart"/>
            <w:r w:rsidRPr="00593CD9">
              <w:rPr>
                <w:bCs/>
                <w:sz w:val="24"/>
                <w:szCs w:val="24"/>
              </w:rPr>
              <w:t>рот</w:t>
            </w:r>
            <w:proofErr w:type="gramStart"/>
            <w:r w:rsidRPr="00593CD9">
              <w:rPr>
                <w:bCs/>
                <w:sz w:val="24"/>
                <w:szCs w:val="24"/>
              </w:rPr>
              <w:t>о</w:t>
            </w:r>
            <w:proofErr w:type="spellEnd"/>
            <w:r w:rsidRPr="00593CD9">
              <w:rPr>
                <w:bCs/>
                <w:sz w:val="24"/>
                <w:szCs w:val="24"/>
              </w:rPr>
              <w:t>-</w:t>
            </w:r>
            <w:proofErr w:type="gramEnd"/>
            <w:r w:rsidRPr="00593CD9">
              <w:rPr>
                <w:bCs/>
                <w:sz w:val="24"/>
                <w:szCs w:val="24"/>
              </w:rPr>
              <w:t xml:space="preserve"> и носоглотки человека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75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Метод – </w:t>
            </w:r>
            <w:proofErr w:type="spellStart"/>
            <w:r w:rsidRPr="00593CD9">
              <w:rPr>
                <w:bCs/>
                <w:sz w:val="24"/>
                <w:szCs w:val="24"/>
              </w:rPr>
              <w:t>полимеразная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цепная реакция с </w:t>
            </w:r>
            <w:proofErr w:type="spellStart"/>
            <w:r w:rsidRPr="00593CD9">
              <w:rPr>
                <w:bCs/>
                <w:sz w:val="24"/>
                <w:szCs w:val="24"/>
              </w:rPr>
              <w:t>гибридизационно-флуоресцентной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93CD9">
              <w:rPr>
                <w:bCs/>
                <w:sz w:val="24"/>
                <w:szCs w:val="24"/>
              </w:rPr>
              <w:t>детекцией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в режиме реального </w:t>
            </w:r>
            <w:r w:rsidRPr="00593CD9">
              <w:rPr>
                <w:bCs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lastRenderedPageBreak/>
              <w:t>соответствие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75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Количество анализируемых образцов 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не менее 96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75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Единая форма выпуска набора включает полный комплект реагентов для экстракции РНК (не менее 96 реакций экстракции) и проведения обратной транскрипции, совмещенной с </w:t>
            </w:r>
            <w:proofErr w:type="spellStart"/>
            <w:r w:rsidRPr="00593CD9">
              <w:rPr>
                <w:bCs/>
                <w:sz w:val="24"/>
                <w:szCs w:val="24"/>
              </w:rPr>
              <w:t>полимеразной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цепной реакцией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соответствие</w:t>
            </w:r>
          </w:p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Метод экстракции РНК – обратимая сорбция </w:t>
            </w:r>
            <w:proofErr w:type="gramStart"/>
            <w:r w:rsidRPr="00593CD9">
              <w:rPr>
                <w:bCs/>
                <w:sz w:val="24"/>
                <w:szCs w:val="24"/>
              </w:rPr>
              <w:t>на</w:t>
            </w:r>
            <w:proofErr w:type="gramEnd"/>
            <w:r w:rsidRPr="00593CD9">
              <w:rPr>
                <w:bCs/>
                <w:sz w:val="24"/>
                <w:szCs w:val="24"/>
              </w:rPr>
              <w:t xml:space="preserve"> магнитной </w:t>
            </w:r>
            <w:proofErr w:type="spellStart"/>
            <w:r w:rsidRPr="00593CD9">
              <w:rPr>
                <w:bCs/>
                <w:sz w:val="24"/>
                <w:szCs w:val="24"/>
              </w:rPr>
              <w:t>силике</w:t>
            </w:r>
            <w:proofErr w:type="spellEnd"/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Возможность автоматизации экстракции РНК с использованием роботизированных лабораторных систем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Возможность ручной экстракции РНК с использованием магнитного штатива без использования центрифуги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Возможность экстракции РНК без магнитного штатива с использованием лабораторной центрифуги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Совмещенная на уровне единой реакционной смеси </w:t>
            </w:r>
            <w:r w:rsidRPr="00593CD9">
              <w:rPr>
                <w:bCs/>
                <w:sz w:val="24"/>
                <w:szCs w:val="24"/>
              </w:rPr>
              <w:lastRenderedPageBreak/>
              <w:t xml:space="preserve">стадия обратной транскрипции и </w:t>
            </w:r>
            <w:proofErr w:type="spellStart"/>
            <w:r w:rsidRPr="00593CD9">
              <w:rPr>
                <w:bCs/>
                <w:sz w:val="24"/>
                <w:szCs w:val="24"/>
              </w:rPr>
              <w:t>полимеразной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цепной реакции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lastRenderedPageBreak/>
              <w:t>соответствие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Количество жидких </w:t>
            </w:r>
            <w:proofErr w:type="spellStart"/>
            <w:r w:rsidRPr="00593CD9">
              <w:rPr>
                <w:bCs/>
                <w:sz w:val="24"/>
                <w:szCs w:val="24"/>
              </w:rPr>
              <w:t>реагентных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компонентов для приготовления </w:t>
            </w:r>
            <w:proofErr w:type="spellStart"/>
            <w:r w:rsidRPr="00593CD9">
              <w:rPr>
                <w:bCs/>
                <w:sz w:val="24"/>
                <w:szCs w:val="24"/>
              </w:rPr>
              <w:t>ПЦР-смести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не более 3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F504FF" w:rsidRDefault="0065287D" w:rsidP="00FB41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Использование внутреннего контрольного образца, начиная с этапа экстракции РНК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F504FF" w:rsidRDefault="0065287D" w:rsidP="00FB41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Количество каналов </w:t>
            </w:r>
            <w:proofErr w:type="spellStart"/>
            <w:r w:rsidRPr="00593CD9">
              <w:rPr>
                <w:bCs/>
                <w:sz w:val="24"/>
                <w:szCs w:val="24"/>
              </w:rPr>
              <w:t>детекции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флуоресценции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не более 2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F504FF" w:rsidRDefault="0065287D" w:rsidP="00FB41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Использование флуоресцентных красителей с разницей длин волн максимального поглощения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не менее 150 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нм</w:t>
            </w: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Использование флуоресцентных красителей с разницей длин волн максимальной эмиссии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не менее 150 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нм</w:t>
            </w: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Использование флуоресцентного красителя по каналу РНК </w:t>
            </w:r>
            <w:r w:rsidRPr="00593CD9">
              <w:rPr>
                <w:bCs/>
                <w:sz w:val="24"/>
                <w:szCs w:val="24"/>
                <w:lang w:val="en-US"/>
              </w:rPr>
              <w:t>SARS</w:t>
            </w:r>
            <w:r w:rsidRPr="00593CD9">
              <w:rPr>
                <w:bCs/>
                <w:sz w:val="24"/>
                <w:szCs w:val="24"/>
              </w:rPr>
              <w:t>-</w:t>
            </w:r>
            <w:proofErr w:type="spellStart"/>
            <w:r w:rsidRPr="00593CD9">
              <w:rPr>
                <w:bCs/>
                <w:sz w:val="24"/>
                <w:szCs w:val="24"/>
                <w:lang w:val="en-US"/>
              </w:rPr>
              <w:t>CoV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-2 с максимальной амплитудой поглощения на длине волны 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не менее 650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нм</w:t>
            </w: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365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Использование флуоресцентного красителя </w:t>
            </w:r>
            <w:r w:rsidRPr="00593CD9">
              <w:rPr>
                <w:bCs/>
                <w:sz w:val="24"/>
                <w:szCs w:val="24"/>
              </w:rPr>
              <w:lastRenderedPageBreak/>
              <w:t xml:space="preserve">по каналу РНК </w:t>
            </w:r>
            <w:r w:rsidRPr="00593CD9">
              <w:rPr>
                <w:bCs/>
                <w:sz w:val="24"/>
                <w:szCs w:val="24"/>
                <w:lang w:val="en-US"/>
              </w:rPr>
              <w:t>SARS</w:t>
            </w:r>
            <w:r w:rsidRPr="00593CD9">
              <w:rPr>
                <w:bCs/>
                <w:sz w:val="24"/>
                <w:szCs w:val="24"/>
              </w:rPr>
              <w:t>-</w:t>
            </w:r>
            <w:proofErr w:type="spellStart"/>
            <w:r w:rsidRPr="00593CD9">
              <w:rPr>
                <w:bCs/>
                <w:sz w:val="24"/>
                <w:szCs w:val="24"/>
                <w:lang w:val="en-US"/>
              </w:rPr>
              <w:t>CoV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-2 с максимальной амплитудой эмиссии на длине волны 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lastRenderedPageBreak/>
              <w:t>не менее 670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Использование флуоресцентного красителя по каналу внутреннего контрольного образца с максимальной амплитудой поглощения на длине волны 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не более </w:t>
            </w:r>
            <w:r w:rsidRPr="00593CD9">
              <w:rPr>
                <w:bCs/>
                <w:sz w:val="24"/>
                <w:szCs w:val="24"/>
                <w:lang w:val="en-US"/>
              </w:rPr>
              <w:t>495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нм</w:t>
            </w: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Использование флуоресцентного красителя по каналу внутреннего контрольного образца с максимальной амплитудой эмиссии на длине волны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не более 520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нм</w:t>
            </w: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Предел обнаружения вируса SARS-CoV-2 в биологическом материале (аналитическая чувствительность)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не более 1000 копий на мл, или не более 10 копий РНК вируса SARS-CoV-2 в одной реакции обратной транскрипции, совмещенной с </w:t>
            </w:r>
            <w:proofErr w:type="spellStart"/>
            <w:r w:rsidRPr="00593CD9">
              <w:rPr>
                <w:bCs/>
                <w:sz w:val="24"/>
                <w:szCs w:val="24"/>
              </w:rPr>
              <w:t>полимеразной</w:t>
            </w:r>
            <w:proofErr w:type="spellEnd"/>
            <w:r w:rsidRPr="00593CD9">
              <w:rPr>
                <w:bCs/>
                <w:sz w:val="24"/>
                <w:szCs w:val="24"/>
              </w:rPr>
              <w:t xml:space="preserve"> цепной реакцией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копий на мл</w:t>
            </w: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Диагностическая чувствительность и </w:t>
            </w:r>
            <w:r w:rsidRPr="00593CD9">
              <w:rPr>
                <w:bCs/>
                <w:sz w:val="24"/>
                <w:szCs w:val="24"/>
              </w:rPr>
              <w:lastRenderedPageBreak/>
              <w:t>специфичность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lastRenderedPageBreak/>
              <w:t>не менее 100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287D" w:rsidRPr="00F504FF" w:rsidTr="00593CD9">
        <w:trPr>
          <w:gridAfter w:val="1"/>
          <w:wAfter w:w="27" w:type="dxa"/>
          <w:trHeight w:val="258"/>
        </w:trPr>
        <w:tc>
          <w:tcPr>
            <w:tcW w:w="830" w:type="dxa"/>
            <w:vMerge/>
          </w:tcPr>
          <w:p w:rsidR="0065287D" w:rsidRPr="00F504FF" w:rsidRDefault="0065287D" w:rsidP="00FB41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Максимальная допустимая температура хранения реагентов для экстракции РНК в течение всего срока годности</w:t>
            </w:r>
          </w:p>
        </w:tc>
        <w:tc>
          <w:tcPr>
            <w:tcW w:w="1841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 xml:space="preserve">не менее +25 </w:t>
            </w:r>
          </w:p>
        </w:tc>
        <w:tc>
          <w:tcPr>
            <w:tcW w:w="1559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3CD9">
              <w:rPr>
                <w:bCs/>
                <w:sz w:val="24"/>
                <w:szCs w:val="24"/>
              </w:rPr>
              <w:t>градусов Цельсия</w:t>
            </w:r>
          </w:p>
        </w:tc>
        <w:tc>
          <w:tcPr>
            <w:tcW w:w="213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65287D" w:rsidRPr="00593CD9" w:rsidRDefault="0065287D" w:rsidP="00FB416D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5287D" w:rsidRDefault="0065287D" w:rsidP="00593CD9">
      <w:pPr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sectPr w:rsidR="0065287D" w:rsidSect="00593CD9">
          <w:pgSz w:w="16838" w:h="11905" w:orient="landscape"/>
          <w:pgMar w:top="567" w:right="1134" w:bottom="851" w:left="1134" w:header="0" w:footer="0" w:gutter="0"/>
          <w:cols w:space="720"/>
        </w:sectPr>
      </w:pPr>
    </w:p>
    <w:p w:rsidR="0065287D" w:rsidRPr="00593CD9" w:rsidRDefault="0065287D" w:rsidP="00593CD9">
      <w:pPr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593CD9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Требования соответствия нормативным документам:</w:t>
      </w:r>
    </w:p>
    <w:p w:rsidR="0065287D" w:rsidRPr="00593CD9" w:rsidRDefault="0065287D" w:rsidP="00593CD9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93C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предоставление, в том числе, копии регистрационных удостоверений, выданных Федеральной службой по надзору в сфере здравоохранения и социального развития (</w:t>
      </w:r>
      <w:proofErr w:type="spellStart"/>
      <w:r w:rsidRPr="00593C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Росздравнадзор</w:t>
      </w:r>
      <w:proofErr w:type="spellEnd"/>
      <w:r w:rsidRPr="00593C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РФ)</w:t>
      </w:r>
    </w:p>
    <w:p w:rsidR="0065287D" w:rsidRPr="00593CD9" w:rsidRDefault="0065287D" w:rsidP="00593CD9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5287D" w:rsidRPr="00593CD9" w:rsidRDefault="0065287D" w:rsidP="00593CD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t>Поставщик гарантирует, что характеристики поставляемых товаров соответствуют (не отличаются) характеристикам, установленным в Спецификации, в том числе характеристикам, определяемым, как методом визуального осмотра (видимым характеристикам), так и лабораторными методами (скрытым характеристикам).</w:t>
      </w:r>
    </w:p>
    <w:p w:rsidR="0065287D" w:rsidRPr="00593CD9" w:rsidRDefault="0065287D" w:rsidP="00593CD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t xml:space="preserve">В случае поставки продукции несоответствующего качества, Поставщик заменяет её за свой счет и своими силами в течение 2-х рабочих дней.   </w:t>
      </w:r>
    </w:p>
    <w:p w:rsidR="0065287D" w:rsidRPr="00593CD9" w:rsidRDefault="0065287D" w:rsidP="00593CD9">
      <w:pPr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5287D" w:rsidRPr="00593CD9" w:rsidRDefault="0065287D" w:rsidP="00593CD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93CD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Место поставки товара: </w:t>
      </w:r>
    </w:p>
    <w:p w:rsidR="0065287D" w:rsidRPr="00593CD9" w:rsidRDefault="0065287D" w:rsidP="00593C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t xml:space="preserve">Московская область, </w:t>
      </w:r>
      <w:proofErr w:type="gramStart"/>
      <w:r w:rsidRPr="00593CD9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593CD9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Серпухов тупик Тихвинский, д. 9</w:t>
      </w:r>
    </w:p>
    <w:p w:rsidR="0065287D" w:rsidRPr="00593CD9" w:rsidRDefault="0065287D" w:rsidP="00593CD9">
      <w:pPr>
        <w:spacing w:after="0"/>
        <w:ind w:left="92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287D" w:rsidRPr="00593CD9" w:rsidRDefault="0065287D" w:rsidP="00593CD9">
      <w:pPr>
        <w:spacing w:after="0"/>
        <w:ind w:right="10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b/>
          <w:color w:val="000000"/>
          <w:sz w:val="28"/>
          <w:szCs w:val="28"/>
          <w:u w:val="single"/>
        </w:rPr>
        <w:t>Условия поставки товаров:</w:t>
      </w:r>
    </w:p>
    <w:p w:rsidR="0065287D" w:rsidRPr="00593CD9" w:rsidRDefault="0065287D" w:rsidP="00593CD9">
      <w:pPr>
        <w:spacing w:after="0"/>
        <w:ind w:right="50"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t xml:space="preserve">Товары поставляются транспортом Поставщика; </w:t>
      </w:r>
    </w:p>
    <w:p w:rsidR="0065287D" w:rsidRPr="00593CD9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t>Погрузка и разгрузка товаров осуществляется силами и средствами Поставщика;</w:t>
      </w:r>
    </w:p>
    <w:p w:rsidR="0065287D" w:rsidRPr="00593CD9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t>Товары поставляются способом, обеспечивающим их сохранность при перевозке;</w:t>
      </w:r>
    </w:p>
    <w:p w:rsidR="0065287D" w:rsidRPr="00593CD9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t xml:space="preserve">Перед поставкой товара Поставщик обязан согласовать с Заказчиком точное время и дату поставки. Телефоны лиц, ответственных за приемку товара, предоставляются на этапе заключения </w:t>
      </w:r>
      <w:r>
        <w:rPr>
          <w:rFonts w:ascii="Times New Roman" w:hAnsi="Times New Roman"/>
          <w:color w:val="000000"/>
          <w:sz w:val="28"/>
          <w:szCs w:val="28"/>
        </w:rPr>
        <w:t>договора</w:t>
      </w:r>
      <w:r w:rsidRPr="00593CD9">
        <w:rPr>
          <w:rFonts w:ascii="Times New Roman" w:hAnsi="Times New Roman"/>
          <w:color w:val="000000"/>
          <w:sz w:val="28"/>
          <w:szCs w:val="28"/>
        </w:rPr>
        <w:t>.</w:t>
      </w:r>
    </w:p>
    <w:p w:rsidR="0065287D" w:rsidRPr="00593CD9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287D" w:rsidRPr="00593CD9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287D" w:rsidRPr="00593CD9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Pr="00593CD9" w:rsidRDefault="0065287D" w:rsidP="009C3F6A">
      <w:pPr>
        <w:spacing w:after="0"/>
        <w:ind w:right="100"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93CD9">
        <w:rPr>
          <w:rFonts w:ascii="Times New Roman" w:hAnsi="Times New Roman"/>
          <w:b/>
          <w:color w:val="000000"/>
          <w:sz w:val="28"/>
          <w:szCs w:val="28"/>
          <w:u w:val="single"/>
        </w:rPr>
        <w:t>Общие требования к товарам, требования, предъявляемые к качеству поставляемых товаров, требования по сроку гарантий качества на поставляемые товары:</w:t>
      </w:r>
    </w:p>
    <w:p w:rsidR="0065287D" w:rsidRPr="00593CD9" w:rsidRDefault="0065287D" w:rsidP="009C3F6A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t>Участник закупки должен обеспечить качество всех поставляемых товаров и включить в свою заявку на участие в электронном аукционе все компоненты, необходимые для выполнения этого требования.</w:t>
      </w:r>
    </w:p>
    <w:p w:rsidR="0065287D" w:rsidRPr="00593CD9" w:rsidRDefault="0065287D" w:rsidP="009C3F6A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t>Поставляемые товары по своим функциональным (качественным) характеристикам должны соответствовать или превышать требования Технического задания.</w:t>
      </w:r>
    </w:p>
    <w:p w:rsidR="0065287D" w:rsidRPr="00593CD9" w:rsidRDefault="0065287D" w:rsidP="009C3F6A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lastRenderedPageBreak/>
        <w:t>Поставляемые товары должны быть новыми, не бывшими в использовании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5287D" w:rsidRPr="00593CD9" w:rsidRDefault="0065287D" w:rsidP="009C3F6A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color w:val="000000"/>
          <w:sz w:val="28"/>
          <w:szCs w:val="28"/>
        </w:rPr>
        <w:t xml:space="preserve">Поставщик должен обеспечить упаковку товаров, способную предотвратить их повреждение во время перевозки к конечному пункту назначения – Заказчику. Упаковка товаров должна полностью обеспечивать условия транспортировки, предъявляемые к данным видам товаров. </w:t>
      </w:r>
    </w:p>
    <w:p w:rsidR="0065287D" w:rsidRPr="00593CD9" w:rsidRDefault="0065287D" w:rsidP="009C3F6A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3CD9">
        <w:rPr>
          <w:rFonts w:ascii="Times New Roman" w:hAnsi="Times New Roman"/>
          <w:bCs/>
          <w:color w:val="000000"/>
          <w:sz w:val="28"/>
          <w:szCs w:val="28"/>
        </w:rPr>
        <w:t>Качество поставляемых товаров должно соответствовать установленным требованиям государственных стандартов качества в соответствии с действующим законодательством Российской Федерации</w:t>
      </w:r>
      <w:r w:rsidRPr="00593CD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5287D" w:rsidRPr="00593CD9" w:rsidRDefault="0065287D" w:rsidP="009C3F6A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287D" w:rsidRDefault="0065287D" w:rsidP="00593CD9">
      <w:pPr>
        <w:spacing w:after="0"/>
        <w:ind w:right="50"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65287D" w:rsidSect="00591EC6">
      <w:pgSz w:w="16838" w:h="11905" w:orient="landscape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87D" w:rsidRDefault="0065287D" w:rsidP="00E221E5">
      <w:pPr>
        <w:spacing w:after="0" w:line="240" w:lineRule="auto"/>
      </w:pPr>
      <w:r>
        <w:separator/>
      </w:r>
    </w:p>
  </w:endnote>
  <w:endnote w:type="continuationSeparator" w:id="0">
    <w:p w:rsidR="0065287D" w:rsidRDefault="0065287D" w:rsidP="00E2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87D" w:rsidRDefault="0065287D" w:rsidP="00E221E5">
      <w:pPr>
        <w:spacing w:after="0" w:line="240" w:lineRule="auto"/>
      </w:pPr>
      <w:r>
        <w:separator/>
      </w:r>
    </w:p>
  </w:footnote>
  <w:footnote w:type="continuationSeparator" w:id="0">
    <w:p w:rsidR="0065287D" w:rsidRDefault="0065287D" w:rsidP="00E22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56769"/>
    <w:multiLevelType w:val="hybridMultilevel"/>
    <w:tmpl w:val="D4184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E85D2C"/>
    <w:multiLevelType w:val="hybridMultilevel"/>
    <w:tmpl w:val="FA94BDDC"/>
    <w:lvl w:ilvl="0" w:tplc="4CC48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6A3"/>
    <w:rsid w:val="00000CE4"/>
    <w:rsid w:val="000C0AAE"/>
    <w:rsid w:val="001279B9"/>
    <w:rsid w:val="001B48DC"/>
    <w:rsid w:val="002010AE"/>
    <w:rsid w:val="002210AD"/>
    <w:rsid w:val="00240F75"/>
    <w:rsid w:val="00242B03"/>
    <w:rsid w:val="00252DBA"/>
    <w:rsid w:val="00267E42"/>
    <w:rsid w:val="00283C4F"/>
    <w:rsid w:val="00304785"/>
    <w:rsid w:val="003202C8"/>
    <w:rsid w:val="003919A3"/>
    <w:rsid w:val="003B3390"/>
    <w:rsid w:val="003B6990"/>
    <w:rsid w:val="003E11B2"/>
    <w:rsid w:val="00400B13"/>
    <w:rsid w:val="004208DC"/>
    <w:rsid w:val="004348AC"/>
    <w:rsid w:val="0044316F"/>
    <w:rsid w:val="00483DC4"/>
    <w:rsid w:val="00486B8F"/>
    <w:rsid w:val="004D731A"/>
    <w:rsid w:val="005274BF"/>
    <w:rsid w:val="00585134"/>
    <w:rsid w:val="005904F2"/>
    <w:rsid w:val="00591EC6"/>
    <w:rsid w:val="00593CD9"/>
    <w:rsid w:val="005E7CCA"/>
    <w:rsid w:val="00627524"/>
    <w:rsid w:val="0065287D"/>
    <w:rsid w:val="006643AD"/>
    <w:rsid w:val="006930A1"/>
    <w:rsid w:val="007A7D5F"/>
    <w:rsid w:val="007B22EF"/>
    <w:rsid w:val="007D517D"/>
    <w:rsid w:val="00802032"/>
    <w:rsid w:val="00825720"/>
    <w:rsid w:val="008509BE"/>
    <w:rsid w:val="008711A2"/>
    <w:rsid w:val="008B437A"/>
    <w:rsid w:val="00901F40"/>
    <w:rsid w:val="00904025"/>
    <w:rsid w:val="00911A51"/>
    <w:rsid w:val="009425F2"/>
    <w:rsid w:val="00982671"/>
    <w:rsid w:val="009B55F2"/>
    <w:rsid w:val="009C04AA"/>
    <w:rsid w:val="009C3F6A"/>
    <w:rsid w:val="009E59E3"/>
    <w:rsid w:val="00A25E96"/>
    <w:rsid w:val="00A27E97"/>
    <w:rsid w:val="00A33F8C"/>
    <w:rsid w:val="00A864B5"/>
    <w:rsid w:val="00AC49EC"/>
    <w:rsid w:val="00B054EE"/>
    <w:rsid w:val="00B34EF5"/>
    <w:rsid w:val="00B75ABD"/>
    <w:rsid w:val="00B80A75"/>
    <w:rsid w:val="00BD3843"/>
    <w:rsid w:val="00C4628D"/>
    <w:rsid w:val="00C545C4"/>
    <w:rsid w:val="00C62036"/>
    <w:rsid w:val="00CD0066"/>
    <w:rsid w:val="00CF5CCC"/>
    <w:rsid w:val="00D16F90"/>
    <w:rsid w:val="00D20AB0"/>
    <w:rsid w:val="00D45DE8"/>
    <w:rsid w:val="00D756A3"/>
    <w:rsid w:val="00D95472"/>
    <w:rsid w:val="00E16CE9"/>
    <w:rsid w:val="00E221E5"/>
    <w:rsid w:val="00E61203"/>
    <w:rsid w:val="00EE5121"/>
    <w:rsid w:val="00F504FF"/>
    <w:rsid w:val="00F85F81"/>
    <w:rsid w:val="00FB416D"/>
    <w:rsid w:val="00FD3C1A"/>
    <w:rsid w:val="00FD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A3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756A3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D756A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756A3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basedOn w:val="a0"/>
    <w:link w:val="a5"/>
    <w:uiPriority w:val="99"/>
    <w:locked/>
    <w:rsid w:val="00D756A3"/>
    <w:rPr>
      <w:rFonts w:ascii="Times New Roman" w:hAnsi="Times New Roman" w:cs="Times New Roman"/>
      <w:sz w:val="28"/>
      <w:szCs w:val="28"/>
    </w:rPr>
  </w:style>
  <w:style w:type="paragraph" w:styleId="a5">
    <w:name w:val="List Paragraph"/>
    <w:aliases w:val="Bullet List,FooterText,numbered,Paragraphe de liste1,lp1"/>
    <w:basedOn w:val="a"/>
    <w:link w:val="a4"/>
    <w:uiPriority w:val="99"/>
    <w:qFormat/>
    <w:rsid w:val="00D756A3"/>
    <w:pPr>
      <w:ind w:left="720"/>
      <w:contextualSpacing/>
    </w:pPr>
    <w:rPr>
      <w:rFonts w:ascii="Times New Roman" w:eastAsia="Calibri" w:hAnsi="Times New Roman"/>
      <w:sz w:val="24"/>
      <w:szCs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D756A3"/>
    <w:rPr>
      <w:rFonts w:eastAsia="Times New Roman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D756A3"/>
    <w:pPr>
      <w:widowControl w:val="0"/>
      <w:autoSpaceDE w:val="0"/>
      <w:autoSpaceDN w:val="0"/>
    </w:pPr>
    <w:rPr>
      <w:rFonts w:eastAsia="Times New Roman" w:cs="Calibri"/>
      <w:szCs w:val="20"/>
      <w:lang w:eastAsia="en-US"/>
    </w:rPr>
  </w:style>
  <w:style w:type="paragraph" w:customStyle="1" w:styleId="2">
    <w:name w:val="Абзац списка2"/>
    <w:basedOn w:val="a"/>
    <w:uiPriority w:val="99"/>
    <w:rsid w:val="00D756A3"/>
    <w:pPr>
      <w:spacing w:after="0" w:line="240" w:lineRule="auto"/>
      <w:ind w:left="720"/>
      <w:contextualSpacing/>
    </w:pPr>
    <w:rPr>
      <w:rFonts w:ascii="Times New Roman" w:hAnsi="Times New Roman"/>
      <w:sz w:val="24"/>
      <w:szCs w:val="28"/>
    </w:rPr>
  </w:style>
  <w:style w:type="paragraph" w:styleId="a6">
    <w:name w:val="No Spacing"/>
    <w:aliases w:val="Без интервала1,Бес интервала"/>
    <w:uiPriority w:val="99"/>
    <w:qFormat/>
    <w:rsid w:val="00D756A3"/>
    <w:rPr>
      <w:rFonts w:ascii="Times New Roman" w:eastAsia="Times New Roman" w:hAnsi="Times New Roman"/>
      <w:lang w:eastAsia="en-US"/>
    </w:rPr>
  </w:style>
  <w:style w:type="table" w:styleId="a7">
    <w:name w:val="Table Grid"/>
    <w:basedOn w:val="a1"/>
    <w:uiPriority w:val="99"/>
    <w:rsid w:val="00D756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B6990"/>
    <w:rPr>
      <w:rFonts w:cs="Times New Roman"/>
      <w:color w:val="808080"/>
    </w:rPr>
  </w:style>
  <w:style w:type="paragraph" w:styleId="a9">
    <w:name w:val="header"/>
    <w:basedOn w:val="a"/>
    <w:link w:val="aa"/>
    <w:uiPriority w:val="99"/>
    <w:rsid w:val="00E2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221E5"/>
    <w:rPr>
      <w:rFonts w:eastAsia="Times New Roman" w:cs="Times New Roman"/>
      <w:lang w:eastAsia="ru-RU"/>
    </w:rPr>
  </w:style>
  <w:style w:type="paragraph" w:styleId="ab">
    <w:name w:val="footer"/>
    <w:basedOn w:val="a"/>
    <w:link w:val="ac"/>
    <w:uiPriority w:val="99"/>
    <w:rsid w:val="00E2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E221E5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0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643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Medipal</dc:creator>
  <cp:keywords/>
  <dc:description/>
  <cp:lastModifiedBy>Inna1005</cp:lastModifiedBy>
  <cp:revision>10</cp:revision>
  <dcterms:created xsi:type="dcterms:W3CDTF">2021-07-10T09:57:00Z</dcterms:created>
  <dcterms:modified xsi:type="dcterms:W3CDTF">2021-12-06T19:07:00Z</dcterms:modified>
</cp:coreProperties>
</file>