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056953-22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(Ниволумаб)</w:t>
      </w:r>
    </w:p>
    <w:p w:rsidR="007C3BF1" w:rsidRDefault="008C2287">
      <w:pPr>
        <w:ind w:left="1418"/>
      </w:pPr>
      <w:r>
        <w:t xml:space="preserve">Цена </w:t>
      </w:r>
      <w:r>
        <w:t>договора</w:t>
      </w:r>
      <w:r>
        <w:t xml:space="preserve">, руб.: </w:t>
      </w:r>
      <w:r>
        <w:t>2 642 298,90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01.21.02.08.01.06.03.13.01.01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НИВОЛУМАБ</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(Ниволумаб)</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НИВОЛУМАБ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поставленных лекарственных препаратов (Ниволумаб)</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(Ниволумаб))</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поставленных лекарственных препаратов (Ниволумаб)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(Ниволумаб)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(Ниволумаб)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(Ниволумаб)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(Ниволумаб)</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(Ниволумаб)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(Ниволумаб)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(Ниволумаб)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(Ниволумаб)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(Ниволумаб)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