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112044-22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анализатора ABL 800</w:t>
      </w:r>
    </w:p>
    <w:p w:rsidR="007C3BF1" w:rsidRDefault="0068700B">
      <w:pPr>
        <w:ind w:left="1418"/>
      </w:pPr>
      <w:r w:rsidR="008C2287">
        <w:t xml:space="preserve">Цена </w:t>
      </w:r>
      <w:r w:rsidR="008C2287">
        <w:t>договора</w:t>
      </w:r>
      <w:r w:rsidR="008C2287">
        <w:t>, руб.:</w:t>
      </w:r>
      <w:r w:rsidR="001406FC">
        <w:t xml:space="preserve"> </w:t>
      </w:r>
      <w:r w:rsidR="008C2287">
        <w:t>2 583 080,89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32,00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01.21.01.05.04.6151</w:t>
            </w:r>
            <w:r w:rsidRPr="00C15977" w:rsidR="00872EF1">
              <w:rPr>
                <w:b/>
                <w:lang w:val="en-US"/>
              </w:rPr>
              <w:t xml:space="preserve"> / </w:t>
            </w:r>
            <w:r w:rsidRPr="00C15977" w:rsidR="00872EF1">
              <w:rPr>
                <w:lang w:val="en-US"/>
              </w:rPr>
              <w:t>21.10.60.196</w:t>
            </w:r>
          </w:p>
        </w:tc>
        <w:tc>
          <w:tcPr>
            <w:tcW w:w="3003" w:type="dxa"/>
            <w:shd w:val="clear" w:color="auto" w:fill="auto"/>
          </w:tcPr>
          <w:p w:rsidR="007C3BF1" w:rsidRDefault="0068700B">
            <w:pPr>
              <w:pStyle w:val="a8"/>
            </w:pPr>
            <w:r w:rsidR="008C2287">
              <w:t>Гломерулярная базальная мембрана антитела (антитела Гудпасчера)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01.71.03.03.02.01.01.476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Кассета для гистологической обработки/хранения тканей</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01.21.01.05.04.10006</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Синдром Смита-Магениса ИВД, зонд</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01.21.01.05.04.10236</w:t>
            </w:r>
            <w:r w:rsidRPr="00C15977" w:rsidR="00872EF1">
              <w:rPr>
                <w:b/>
                <w:lang w:val="en-US"/>
              </w:rPr>
              <w:t xml:space="preserve"> / </w:t>
            </w:r>
            <w:r w:rsidRPr="00C15977" w:rsidR="00872EF1">
              <w:rPr>
                <w:lang w:val="en-US"/>
              </w:rPr>
              <w:t>21.10.60.196</w:t>
            </w:r>
          </w:p>
        </w:tc>
        <w:tc>
          <w:tcPr>
            <w:tcW w:w="3003" w:type="dxa"/>
            <w:shd w:val="clear" w:color="auto" w:fill="auto"/>
          </w:tcPr>
          <w:p w:rsidR="007C3BF1" w:rsidRDefault="0068700B">
            <w:pPr>
              <w:pStyle w:val="a8"/>
            </w:pPr>
            <w:r w:rsidR="008C2287">
              <w:t>Сукцинилацетон ИВД, набор, газовая хроматография</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расходных материалов для анализатора ABL 800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Гломерулярная базальная мембрана антитела (антитела Гудпасчера)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Кассета для гистологической обработки/хранения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Синдром Смита-Магениса ИВД, зонд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Сукцинилацетон ИВД, набор, газовая хроматография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расходных материалов для анализатора ABL 800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расходных материалов для анализатора ABL 800)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расходных материалов для анализатора ABL 800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расходных материалов для анализатора ABL 800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расходных материалов для анализатора ABL 800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расходных материалов для анализатора ABL 800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расходных материалов для анализатора ABL 800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анализатора ABL 800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анализатора ABL 800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анализатора ABL 800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анализатора ABL 800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расходных материалов для анализатора ABL 800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