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ортодонтических расходных материалов</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w:t>
      </w:r>
      <w:proofErr w:type="spellStart"/>
      <w:r w:rsidR="005F69E3" w:rsidRPr="0073212F">
        <w:rPr>
          <w:lang w:val="en-US"/>
        </w:rPr>
        <w:t/>
      </w:r>
      <w:proofErr w:type="spellEnd"/>
      <w:r w:rsidR="005F69E3" w:rsidRPr="0073212F">
        <w:rPr>
          <w:lang w:val="en-US"/>
        </w:rPr>
        <w:t xml:space="preserve"> Сойхер Марины Ивановны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полученные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20825НЛ8880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в соответствии с Техническим заданием. </w:t>
      </w:r>
    </w:p>
    <w:p>
      <w:r>
        <w:t>Гарантийный срок производителя: в соответствии с документацией на Товар.</w:t>
      </w:r>
    </w:p>
    <w:p>
      <w:r>
        <w:t>Требования к гарантийному обслуживанию: не установлены.</w:t>
      </w:r>
    </w:p>
    <w:p>
      <w:r>
        <w:t>Требования к объему предоставления гарантий качества: в полном объеме в течение гарантийного срока.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ГБУЗ МОСКОВСКОЙ ОБЛАСТИ "МОСП"</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20825НЛ8880, </w:t>
            </w:r>
            <w:proofErr w:type="spellStart"/>
            <w:r w:rsidR="009942F2" w:rsidRPr="0073212F">
              <w:rPr>
                <w:lang w:val="en-US" w:eastAsia="en-US"/>
              </w:rPr>
              <w:t/>
            </w:r>
            <w:proofErr w:type="spellEnd"/>
            <w:r w:rsidR="009942F2" w:rsidRPr="0073212F">
              <w:rPr>
                <w:lang w:val="en-US" w:eastAsia="en-US"/>
              </w:rPr>
              <w:t xml:space="preserve"> ГБУЗ МОСКОВСКОЙ ОБЛАСТИ "МОСП"</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01934785</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45379000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75203</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+7(929)929-45-54</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zakazmosp@mail.ru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bookmarkStart w:id="5" w:name="_GoBack"/>
      <w:bookmarkEnd w:id="5"/>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84DC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409-A24D-45DA-B0CE-41D668A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2022-04-18T07:59:00Z</cp:lastPrinted>
  <dcterms:created xsi:type="dcterms:W3CDTF">2023-03-06T07:54:00Z</dcterms:created>
  <dcterms:modified xsi:type="dcterms:W3CDTF">2023-08-22T07:16:00Z</dcterms:modified>
</cp:coreProperties>
</file>