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059252-21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входных групп подъездов многоквартирных жилых домов, обслуживаемых АО "УК "Жилой дом" в 2021г.</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4 273 375,68</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«Управляющая компания «Жилой дом»</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5035029708</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142505, Московская область, г. Павловский Посад,  пер. Корнево-Юдинский, д.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142505, Московская область, г. Павловский Посад,  пер. Корнево-Юдинский, д. 3</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03.06.03.04</w:t>
                                    </w:r>
                                  </w:sdtContent>
                                </w:sdt>
                                <w:r w:rsidR="008C2287">
                                  <w:rPr>
                                    <w:b/>
                                  </w:rPr>
                                  <w:t xml:space="preserve"> / </w:t>
                                </w:r>
                                <w:sdt>
                                  <w:sdtPr>
                                    <w:alias w:val="Simple"/>
                                    <w:tag w:val="Simple"/>
                                    <w:id w:val="1294708762"/>
                                    <w:placeholder>
                                      <w:docPart w:val="DC164BD344BB43C9BF3D4118AB3CA733"/>
                                    </w:placeholder>
                                    <w:text/>
                                  </w:sdtPr>
                                  <w:sdtEndPr/>
                                  <w:sdtContent>
                                    <w:r w:rsidR="008C2287">
                                      <w:t>43.32.10.110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Работы по ремонту (замене) дверей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1,000000000000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Условная единица</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45.42.11.136,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Работы по ремонту (замене) дверей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3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31.05.2021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«Акт о выполнении работ (оказании услуг), унифицированный формат, приказ ФНС России от 30.11.2015 г. № ММВ-7-10/552@» (Выполнение работ по ремонту входных групп подъездов многоквартирных жилых домов, обслуживаемых АО "УК "Жилой дом" в 2021г.)</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Справка о стоимости выполненных работ и затрат (КС-3)</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входных групп подъездов многоквартирных жилых домов, обслуживаемых АО "УК "Жилой дом" в 2021г.</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