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Самохина Елена Викторовна</w:t>
        <w:br/>
        <w:t>Директор</w:t>
        <w:br/>
        <w:t>МУНИЦИПАЛЬНОЕ АВТОНОМНОЕ УЧРЕЖДЕНИЕ СТАДИОН "СПАРТАК"</w:t>
        <w:br/>
        <w:t>«09» октября 2024г.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АВТОНОМНОЕ УЧРЕЖДЕНИЕ СТАДИОН "СПАРТАК"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142203, Московская область, г.Серпухов, ул. Ленинского Комсомола дом 89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142209, Московская область, г. Серпухов, ул. Калинина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spartakstadion@yandex.ru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7-915-3057205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Самохина Елена Викторовна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Реконструкция освещения хоккейной площадки на территории стадиона «Спартак», расположенного по адресу ул. Ленинского Комсомола 89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выполняемой работы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хоккейная площадка на территории стадиона «Спартак», расположенного по адресу г. Серпухов, ул. Ленинского Комсомола 89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627 497 (шестьсот двадцать семь тысяч четыреста девяносто семь)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«10» октября 2024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«16» октября 2024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«09» октября 2024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«24» октября 2024 в 15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«09» октября 2024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«24» октября 2024 в 00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lastRenderedPageBreak/>
              <w:t>«24» октября 2024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«24» октября 2024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«25» октября 2024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  <w:bookmarkStart w:id="77" w:name="_GoBack"/>
            <w:bookmarkEnd w:id="77"/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«25» октября 2024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«25» октября 2024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«25» октября 2024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79DC" w14:textId="77777777" w:rsidR="00E04284" w:rsidRDefault="00E04284">
      <w:r>
        <w:separator/>
      </w:r>
    </w:p>
  </w:endnote>
  <w:endnote w:type="continuationSeparator" w:id="0">
    <w:p w14:paraId="53061464" w14:textId="77777777" w:rsidR="00E04284" w:rsidRDefault="00E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A74B" w14:textId="77777777" w:rsidR="00E04284" w:rsidRDefault="00E04284">
      <w:r>
        <w:separator/>
      </w:r>
    </w:p>
  </w:footnote>
  <w:footnote w:type="continuationSeparator" w:id="0">
    <w:p w14:paraId="78932FEB" w14:textId="77777777" w:rsidR="00E04284" w:rsidRDefault="00E04284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F030D54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08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2EB8F2AB-6ECB-41B4-8A2F-BB4DC846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6403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23</cp:revision>
  <cp:lastPrinted>2020-02-28T12:36:00Z</cp:lastPrinted>
  <dcterms:created xsi:type="dcterms:W3CDTF">2021-10-12T07:09:00Z</dcterms:created>
  <dcterms:modified xsi:type="dcterms:W3CDTF">2021-11-25T11:15:00Z</dcterms:modified>
</cp:coreProperties>
</file>