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Pr="00B032F2"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B032F2" w:rsidRPr="00B032F2">
        <w:rPr>
          <w:rFonts w:ascii="Times New Roman" w:hAnsi="Times New Roman" w:cs="Times New Roman"/>
        </w:rPr>
        <w:t>оказание услуг сотовой связи</w:t>
      </w:r>
    </w:p>
    <w:p w:rsidR="0030605F" w:rsidRDefault="0030605F" w:rsidP="0030605F">
      <w:pPr>
        <w:jc w:val="right"/>
        <w:rPr>
          <w:rFonts w:ascii="Times New Roman" w:hAnsi="Times New Roman" w:cs="Times New Roman"/>
        </w:rPr>
      </w:pPr>
      <w:proofErr w:type="spellStart"/>
      <w:r>
        <w:rPr>
          <w:rFonts w:ascii="Times New Roman" w:hAnsi="Times New Roman" w:cs="Times New Roman"/>
        </w:rPr>
        <w:t>г.о</w:t>
      </w:r>
      <w:proofErr w:type="spellEnd"/>
      <w:r>
        <w:rPr>
          <w:rFonts w:ascii="Times New Roman" w:hAnsi="Times New Roman" w:cs="Times New Roman"/>
        </w:rPr>
        <w:t>.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3B0DF2">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3B0DF2">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3B0DF2">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B032F2" w:rsidP="00CC62B0">
            <w:pPr>
              <w:jc w:val="both"/>
              <w:rPr>
                <w:rFonts w:ascii="Times New Roman" w:hAnsi="Times New Roman" w:cs="Times New Roman"/>
              </w:rPr>
            </w:pPr>
            <w:r w:rsidRPr="00B032F2">
              <w:rPr>
                <w:rFonts w:ascii="Times New Roman" w:hAnsi="Times New Roman" w:cs="Times New Roman"/>
              </w:rPr>
              <w:t>оказание услуг сотовой связи</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w:t>
            </w:r>
            <w:r w:rsidR="00B032F2">
              <w:rPr>
                <w:rFonts w:ascii="Times New Roman" w:hAnsi="Times New Roman" w:cs="Times New Roman"/>
              </w:rPr>
              <w:t xml:space="preserve"> </w:t>
            </w:r>
            <w:r>
              <w:rPr>
                <w:rFonts w:ascii="Times New Roman" w:hAnsi="Times New Roman" w:cs="Times New Roman"/>
              </w:rPr>
              <w:t>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B032F2" w:rsidRPr="00B032F2" w:rsidRDefault="00CC62B0" w:rsidP="00B032F2">
            <w:pPr>
              <w:jc w:val="both"/>
              <w:rPr>
                <w:rFonts w:ascii="Times New Roman" w:hAnsi="Times New Roman" w:cs="Times New Roman"/>
                <w:bCs/>
                <w:iCs/>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B032F2" w:rsidRPr="00B032F2">
              <w:rPr>
                <w:rFonts w:ascii="Times New Roman" w:hAnsi="Times New Roman" w:cs="Times New Roman"/>
              </w:rPr>
              <w:t xml:space="preserve">638 443 </w:t>
            </w:r>
            <w:r w:rsidR="00B032F2" w:rsidRPr="00B032F2">
              <w:rPr>
                <w:rFonts w:ascii="Times New Roman" w:hAnsi="Times New Roman" w:cs="Times New Roman"/>
                <w:bCs/>
                <w:iCs/>
              </w:rPr>
              <w:t>(шестьсот тридцать восемь тысяч четыреста сорок три</w:t>
            </w:r>
            <w:r w:rsidR="00B032F2" w:rsidRPr="00B032F2">
              <w:rPr>
                <w:rFonts w:ascii="Times New Roman" w:hAnsi="Times New Roman" w:cs="Times New Roman"/>
              </w:rPr>
              <w:t>) рубля 76 копеек.</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3B0DF2">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w:t>
            </w:r>
            <w:r w:rsidR="00B032F2">
              <w:rPr>
                <w:rFonts w:ascii="Times New Roman" w:hAnsi="Times New Roman" w:cs="Times New Roman"/>
              </w:rPr>
              <w:t>03.02.2021</w:t>
            </w:r>
            <w:r>
              <w:rPr>
                <w:rFonts w:ascii="Times New Roman" w:hAnsi="Times New Roman" w:cs="Times New Roman"/>
              </w:rPr>
              <w:t xml:space="preserve"> г по </w:t>
            </w:r>
            <w:r w:rsidR="00B032F2">
              <w:rPr>
                <w:rFonts w:ascii="Times New Roman" w:hAnsi="Times New Roman" w:cs="Times New Roman"/>
              </w:rPr>
              <w:t>10.02.2021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B032F2">
              <w:rPr>
                <w:rFonts w:ascii="Times New Roman" w:hAnsi="Times New Roman" w:cs="Times New Roman"/>
              </w:rPr>
              <w:t xml:space="preserve">03.02.2021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B032F2">
              <w:rPr>
                <w:rFonts w:ascii="Times New Roman" w:hAnsi="Times New Roman" w:cs="Times New Roman"/>
              </w:rPr>
              <w:t xml:space="preserve">10.02.2021 </w:t>
            </w:r>
            <w:r w:rsidRPr="006C2F6C">
              <w:rPr>
                <w:rFonts w:ascii="Times New Roman" w:hAnsi="Times New Roman" w:cs="Times New Roman"/>
              </w:rPr>
              <w:t xml:space="preserve">г. в </w:t>
            </w:r>
            <w:r w:rsidR="00B032F2">
              <w:rPr>
                <w:rFonts w:ascii="Times New Roman" w:hAnsi="Times New Roman" w:cs="Times New Roman"/>
              </w:rPr>
              <w:t>05</w:t>
            </w:r>
            <w:r w:rsidRPr="006C2F6C">
              <w:rPr>
                <w:rFonts w:ascii="Times New Roman" w:hAnsi="Times New Roman" w:cs="Times New Roman"/>
              </w:rPr>
              <w:t>:</w:t>
            </w:r>
            <w:r w:rsidR="00B032F2">
              <w:rPr>
                <w:rFonts w:ascii="Times New Roman" w:hAnsi="Times New Roman" w:cs="Times New Roman"/>
              </w:rPr>
              <w:t>00</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B032F2">
              <w:rPr>
                <w:rFonts w:ascii="Times New Roman" w:hAnsi="Times New Roman" w:cs="Times New Roman"/>
              </w:rPr>
              <w:t>10 февраля</w:t>
            </w:r>
            <w:r w:rsidRPr="006C2F6C">
              <w:rPr>
                <w:rFonts w:ascii="Times New Roman" w:hAnsi="Times New Roman" w:cs="Times New Roman"/>
              </w:rPr>
              <w:t xml:space="preserve"> 202</w:t>
            </w:r>
            <w:r w:rsidR="00B032F2">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AB76E9">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B032F2">
              <w:rPr>
                <w:rFonts w:ascii="Times New Roman" w:hAnsi="Times New Roman" w:cs="Times New Roman"/>
              </w:rPr>
              <w:t>10 февраля</w:t>
            </w:r>
            <w:r w:rsidR="00B032F2" w:rsidRPr="006C2F6C">
              <w:rPr>
                <w:rFonts w:ascii="Times New Roman" w:hAnsi="Times New Roman" w:cs="Times New Roman"/>
              </w:rPr>
              <w:t xml:space="preserve"> 202</w:t>
            </w:r>
            <w:r w:rsidR="00B032F2">
              <w:rPr>
                <w:rFonts w:ascii="Times New Roman" w:hAnsi="Times New Roman" w:cs="Times New Roman"/>
              </w:rPr>
              <w:t>1</w:t>
            </w:r>
            <w:r w:rsidR="00B032F2" w:rsidRPr="006C2F6C">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w:t>
            </w:r>
            <w:r w:rsidRPr="008937D8">
              <w:rPr>
                <w:rFonts w:ascii="Times New Roman" w:hAnsi="Times New Roman" w:cs="Times New Roman"/>
              </w:rPr>
              <w:lastRenderedPageBreak/>
              <w:t>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proofErr w:type="spellStart"/>
            <w:r w:rsidRPr="00CD5A9A">
              <w:rPr>
                <w:rFonts w:ascii="Times New Roman" w:hAnsi="Times New Roman" w:cs="Times New Roman"/>
              </w:rPr>
              <w:t>непроведение</w:t>
            </w:r>
            <w:proofErr w:type="spellEnd"/>
            <w:r w:rsidRPr="00CD5A9A">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w:t>
            </w:r>
            <w:r w:rsidRPr="00CD5A9A">
              <w:rPr>
                <w:rFonts w:ascii="Times New Roman" w:hAnsi="Times New Roman" w:cs="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proofErr w:type="spellStart"/>
            <w:r w:rsidRPr="00CD5A9A">
              <w:rPr>
                <w:rFonts w:ascii="Times New Roman" w:hAnsi="Times New Roman" w:cs="Times New Roman"/>
              </w:rPr>
              <w:t>неприостановление</w:t>
            </w:r>
            <w:proofErr w:type="spellEnd"/>
            <w:r w:rsidRPr="00CD5A9A">
              <w:rPr>
                <w:rFonts w:ascii="Times New Roman" w:hAnsi="Times New Roman" w:cs="Times New Roman"/>
              </w:rPr>
              <w:t xml:space="preserve">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CD5A9A">
              <w:rPr>
                <w:rFonts w:ascii="Times New Roman" w:hAnsi="Times New Roman" w:cs="Times New Roman"/>
              </w:rPr>
              <w:lastRenderedPageBreak/>
              <w:t xml:space="preserve">полнородными и </w:t>
            </w:r>
            <w:proofErr w:type="spellStart"/>
            <w:r w:rsidRPr="00CD5A9A">
              <w:rPr>
                <w:rFonts w:ascii="Times New Roman" w:hAnsi="Times New Roman" w:cs="Times New Roman"/>
              </w:rPr>
              <w:t>неполнородными</w:t>
            </w:r>
            <w:proofErr w:type="spellEnd"/>
            <w:r w:rsidRPr="00CD5A9A">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B032F2">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w:t>
            </w:r>
            <w:r w:rsidR="00B032F2">
              <w:rPr>
                <w:rFonts w:ascii="Times New Roman" w:hAnsi="Times New Roman" w:cs="Times New Roman"/>
              </w:rPr>
              <w:t xml:space="preserve"> №223-ФЗ</w:t>
            </w:r>
            <w:r w:rsidRPr="00CD5A9A">
              <w:rPr>
                <w:rFonts w:ascii="Times New Roman" w:hAnsi="Times New Roman" w:cs="Times New Roman"/>
              </w:rPr>
              <w:t>, 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lastRenderedPageBreak/>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eastAsia="Times New Roman" w:hAnsi="Times New Roman" w:cs="Times New Roman"/>
              </w:rPr>
              <w:t xml:space="preserve"> </w:t>
            </w:r>
            <w:r w:rsidRPr="003C0DC4">
              <w:rPr>
                <w:rFonts w:ascii="Times New Roman" w:hAnsi="Times New Roman" w:cs="Times New Roman"/>
                <w:color w:val="000001"/>
              </w:rPr>
              <w:t>лицензи</w:t>
            </w:r>
            <w:r>
              <w:rPr>
                <w:rFonts w:ascii="Times New Roman" w:hAnsi="Times New Roman" w:cs="Times New Roman"/>
                <w:color w:val="000001"/>
              </w:rPr>
              <w:t>и</w:t>
            </w:r>
            <w:r w:rsidRPr="003C0DC4">
              <w:rPr>
                <w:rFonts w:ascii="Times New Roman" w:hAnsi="Times New Roman" w:cs="Times New Roman"/>
                <w:color w:val="000001"/>
              </w:rPr>
              <w:t>:</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подвижной радиотелефонной связи;</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 передаче данных;</w:t>
            </w:r>
          </w:p>
          <w:p w:rsidR="003B0DF2" w:rsidRPr="003B0DF2"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w:t>
            </w:r>
            <w:r>
              <w:rPr>
                <w:rFonts w:ascii="Times New Roman" w:hAnsi="Times New Roman" w:cs="Times New Roman"/>
                <w:color w:val="000001"/>
              </w:rPr>
              <w:t>ндивидуального предпринимателя.</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t xml:space="preserve"> Размер обеспечения исполнения договора: </w:t>
            </w:r>
          </w:p>
          <w:p w:rsidR="0030605F" w:rsidRDefault="00AB76E9" w:rsidP="0030605F">
            <w:pPr>
              <w:jc w:val="both"/>
              <w:rPr>
                <w:rFonts w:ascii="Times New Roman" w:hAnsi="Times New Roman" w:cs="Times New Roman"/>
              </w:rPr>
            </w:pPr>
            <w:r>
              <w:rPr>
                <w:rFonts w:ascii="Times New Roman" w:hAnsi="Times New Roman" w:cs="Times New Roman"/>
              </w:rPr>
              <w:t>Не установлен</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3B0DF2" w:rsidP="0030605F">
            <w:pPr>
              <w:jc w:val="both"/>
              <w:rPr>
                <w:rFonts w:ascii="Times New Roman" w:hAnsi="Times New Roman" w:cs="Times New Roman"/>
              </w:rPr>
            </w:pPr>
            <w:r>
              <w:rPr>
                <w:rFonts w:ascii="Times New Roman" w:hAnsi="Times New Roman" w:cs="Times New Roman"/>
              </w:rPr>
              <w:t>В соответствии с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w:t>
            </w:r>
            <w:r w:rsidR="003B0DF2">
              <w:rPr>
                <w:rFonts w:ascii="Times New Roman" w:hAnsi="Times New Roman"/>
              </w:rPr>
              <w:t>оказанные услуги</w:t>
            </w:r>
            <w:r w:rsidRPr="005A3BE6">
              <w:rPr>
                <w:rFonts w:ascii="Times New Roman" w:hAnsi="Times New Roman"/>
              </w:rPr>
              <w:t xml:space="preserve"> по безналичному расчету, в течение </w:t>
            </w:r>
            <w:r w:rsidR="003B0DF2">
              <w:rPr>
                <w:rFonts w:ascii="Times New Roman" w:hAnsi="Times New Roman"/>
              </w:rPr>
              <w:t>45</w:t>
            </w:r>
            <w:r w:rsidRPr="005A3BE6">
              <w:rPr>
                <w:rFonts w:ascii="Times New Roman" w:hAnsi="Times New Roman"/>
              </w:rPr>
              <w:t xml:space="preserve"> календарных дней </w:t>
            </w:r>
            <w:r>
              <w:rPr>
                <w:rFonts w:ascii="Times New Roman" w:hAnsi="Times New Roman"/>
              </w:rPr>
              <w:t xml:space="preserve">с момента подписания обеими Сторонами актов </w:t>
            </w:r>
            <w:r w:rsidR="003B0DF2">
              <w:rPr>
                <w:rFonts w:ascii="Times New Roman" w:hAnsi="Times New Roman"/>
              </w:rPr>
              <w:t>оказания услуг</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3B0DF2" w:rsidRDefault="003B0DF2"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3B0DF2" w:rsidRDefault="00726B92" w:rsidP="00726B92">
      <w:pPr>
        <w:spacing w:after="0" w:line="240" w:lineRule="auto"/>
        <w:rPr>
          <w:rFonts w:ascii="Times New Roman" w:hAnsi="Times New Roman"/>
          <w:i/>
          <w:color w:val="000000"/>
        </w:rPr>
      </w:pPr>
    </w:p>
    <w:p w:rsidR="00754E23" w:rsidRPr="003B0DF2" w:rsidRDefault="003B0DF2" w:rsidP="00D25920">
      <w:pPr>
        <w:jc w:val="both"/>
        <w:rPr>
          <w:rFonts w:ascii="Times New Roman" w:hAnsi="Times New Roman" w:cs="Times New Roman"/>
          <w:i/>
        </w:rPr>
      </w:pPr>
      <w:r w:rsidRPr="003B0DF2">
        <w:rPr>
          <w:rFonts w:ascii="Times New Roman" w:hAnsi="Times New Roman" w:cs="Times New Roman"/>
          <w:i/>
        </w:rPr>
        <w:t>Прилагается отдельным файлом</w:t>
      </w: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3B0DF2">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мы выражаем свое согласие на</w:t>
      </w:r>
      <w:r>
        <w:rPr>
          <w:rFonts w:ascii="Times New Roman" w:eastAsia="Andale Sans UI" w:hAnsi="Times New Roman"/>
          <w:kern w:val="1"/>
        </w:rPr>
        <w:t xml:space="preserve">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3B0DF2">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3B0DF2">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w:t>
      </w:r>
      <w:proofErr w:type="gramStart"/>
      <w:r w:rsidRPr="002C247C">
        <w:rPr>
          <w:rFonts w:ascii="Times New Roman" w:eastAsia="Calibri" w:hAnsi="Times New Roman"/>
        </w:rPr>
        <w:t>так же</w:t>
      </w:r>
      <w:proofErr w:type="gramEnd"/>
      <w:r w:rsidRPr="002C247C">
        <w:rPr>
          <w:rFonts w:ascii="Times New Roman" w:eastAsia="Calibri" w:hAnsi="Times New Roman"/>
        </w:rPr>
        <w:t xml:space="preserve">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3B0DF2">
        <w:rPr>
          <w:rFonts w:ascii="Times New Roman" w:eastAsia="Andale Sans UI" w:hAnsi="Times New Roman"/>
          <w:kern w:val="1"/>
        </w:rPr>
        <w:t>1</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lastRenderedPageBreak/>
        <w:t>Приложение №3</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извещению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ТЕХНИЧЕСКОЕ ЗАДАНИЕ</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на предоставление услуг подвижной радиотелефонной связи</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Московского региона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Услуги по предоставлению подвижной радиотелефонной связи  на базе совершенных цифровых технологий, высокого качества (в том числе и при самых высоких нагрузках на сеть), надежно защищенные от несанкционированного доступа, иметь равномерное и плотное покрытие по Москве и Московской области, а также возможность эволюционного наращивания, расширения зоны обслуживания и </w:t>
      </w:r>
      <w:proofErr w:type="spellStart"/>
      <w:r w:rsidRPr="003B0DF2">
        <w:rPr>
          <w:rFonts w:ascii="Times New Roman" w:hAnsi="Times New Roman" w:cs="Times New Roman"/>
        </w:rPr>
        <w:t>роуминговых</w:t>
      </w:r>
      <w:proofErr w:type="spellEnd"/>
      <w:r w:rsidRPr="003B0DF2">
        <w:rPr>
          <w:rFonts w:ascii="Times New Roman" w:hAnsi="Times New Roman" w:cs="Times New Roman"/>
        </w:rPr>
        <w:t xml:space="preserve"> отношений, экономичные тарифы и полный набор современных услуг для номеров в количестве не менее 126  штук основных номеров и 10 запасных сим-карт в соответствии с техническими характеристиками.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Услуги </w:t>
      </w:r>
      <w:proofErr w:type="gramStart"/>
      <w:r w:rsidRPr="003B0DF2">
        <w:rPr>
          <w:rFonts w:ascii="Times New Roman" w:hAnsi="Times New Roman" w:cs="Times New Roman"/>
        </w:rPr>
        <w:t>предоставляются  в</w:t>
      </w:r>
      <w:proofErr w:type="gramEnd"/>
      <w:r w:rsidRPr="003B0DF2">
        <w:rPr>
          <w:rFonts w:ascii="Times New Roman" w:hAnsi="Times New Roman" w:cs="Times New Roman"/>
        </w:rPr>
        <w:t xml:space="preserve"> течение 12 месяцев с момента заключения договора.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срок начала оказания услуг с использованием сохраняемых абонентских номеров определяется в соответствии с Правилами оказания услуг телефонной связи, утвержденными Постановлением Правительства РФ № 1342 от 09.12.2014г. 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перечень таких абонентских номеров будет указан Заказчиком в договоре при его заключении.</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Технические характеристики: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Максимальная зона устойчивого </w:t>
      </w:r>
      <w:proofErr w:type="spellStart"/>
      <w:r w:rsidRPr="003B0DF2">
        <w:rPr>
          <w:rFonts w:ascii="Times New Roman" w:hAnsi="Times New Roman" w:cs="Times New Roman"/>
        </w:rPr>
        <w:t>радиопокрытия</w:t>
      </w:r>
      <w:proofErr w:type="spellEnd"/>
      <w:r w:rsidRPr="003B0DF2">
        <w:rPr>
          <w:rFonts w:ascii="Times New Roman" w:hAnsi="Times New Roman" w:cs="Times New Roman"/>
        </w:rPr>
        <w:t xml:space="preserve"> в Москве и Московской области;</w:t>
      </w:r>
    </w:p>
    <w:p w:rsidR="003B0DF2" w:rsidRPr="003B0DF2" w:rsidRDefault="003B0DF2" w:rsidP="003B0DF2">
      <w:pPr>
        <w:numPr>
          <w:ilvl w:val="0"/>
          <w:numId w:val="14"/>
        </w:numPr>
        <w:jc w:val="both"/>
        <w:rPr>
          <w:rFonts w:ascii="Times New Roman" w:hAnsi="Times New Roman" w:cs="Times New Roman"/>
          <w:i/>
        </w:rPr>
      </w:pPr>
      <w:r w:rsidRPr="003B0DF2">
        <w:rPr>
          <w:rFonts w:ascii="Times New Roman" w:hAnsi="Times New Roman" w:cs="Times New Roman"/>
        </w:rPr>
        <w:t xml:space="preserve">Возможность осуществления </w:t>
      </w:r>
      <w:proofErr w:type="spellStart"/>
      <w:r w:rsidRPr="003B0DF2">
        <w:rPr>
          <w:rFonts w:ascii="Times New Roman" w:hAnsi="Times New Roman" w:cs="Times New Roman"/>
        </w:rPr>
        <w:t>видеозвонков</w:t>
      </w:r>
      <w:proofErr w:type="spellEnd"/>
      <w:r w:rsidRPr="003B0DF2">
        <w:rPr>
          <w:rFonts w:ascii="Times New Roman" w:hAnsi="Times New Roman" w:cs="Times New Roman"/>
        </w:rPr>
        <w:t xml:space="preserve"> в сетях стандарта 3G;</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Наибольшая зона покрытия на территории РФ;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Развитое международное покрытие (не менее 227 стран/направлений);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пользоваться услугами других сетей радиотелефонной связи в России и за рубежом (роуминг) (не менее 602 роуминг-партнеров Оператора);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подключения дополнительных номеров.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Дополнительные услуги (по требованию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международный доступ;</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переадресация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режим ожидания/удержания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запрет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определитель (</w:t>
      </w:r>
      <w:proofErr w:type="spellStart"/>
      <w:r w:rsidRPr="003B0DF2">
        <w:rPr>
          <w:rFonts w:ascii="Times New Roman" w:hAnsi="Times New Roman" w:cs="Times New Roman"/>
        </w:rPr>
        <w:t>антиопределитель</w:t>
      </w:r>
      <w:proofErr w:type="spellEnd"/>
      <w:r w:rsidRPr="003B0DF2">
        <w:rPr>
          <w:rFonts w:ascii="Times New Roman" w:hAnsi="Times New Roman" w:cs="Times New Roman"/>
        </w:rPr>
        <w:t>)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голосовая почта;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детализированный счет;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lastRenderedPageBreak/>
        <w:t xml:space="preserve">возможность бесплатной дистанционной замены сим-карт для оперативного реагирования в случае выхода из строя или утери </w:t>
      </w:r>
      <w:r w:rsidRPr="003B0DF2">
        <w:rPr>
          <w:rFonts w:ascii="Times New Roman" w:hAnsi="Times New Roman" w:cs="Times New Roman"/>
          <w:lang w:val="en-US"/>
        </w:rPr>
        <w:t>SIM</w:t>
      </w:r>
      <w:r w:rsidRPr="003B0DF2">
        <w:rPr>
          <w:rFonts w:ascii="Times New Roman" w:hAnsi="Times New Roman" w:cs="Times New Roman"/>
        </w:rPr>
        <w:t>-карты;</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выбора абонентских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блокировка (разблокировка) </w:t>
      </w:r>
      <w:r w:rsidRPr="003B0DF2">
        <w:rPr>
          <w:rFonts w:ascii="Times New Roman" w:hAnsi="Times New Roman" w:cs="Times New Roman"/>
          <w:lang w:val="en-US"/>
        </w:rPr>
        <w:t>SIM</w:t>
      </w:r>
      <w:r w:rsidRPr="003B0DF2">
        <w:rPr>
          <w:rFonts w:ascii="Times New Roman" w:hAnsi="Times New Roman" w:cs="Times New Roman"/>
        </w:rPr>
        <w:t>-карты по требованию владельца в течение 2-х часов с момента обращения;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замены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временное резервирование номера;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передачи данных и факсимильных сообщений, мобильного доступа к сети «Интернет»;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прием/передача </w:t>
      </w:r>
      <w:r w:rsidRPr="003B0DF2">
        <w:rPr>
          <w:rFonts w:ascii="Times New Roman" w:hAnsi="Times New Roman" w:cs="Times New Roman"/>
          <w:lang w:val="en-US"/>
        </w:rPr>
        <w:t>SMS</w:t>
      </w:r>
      <w:r w:rsidRPr="003B0DF2">
        <w:rPr>
          <w:rFonts w:ascii="Times New Roman" w:hAnsi="Times New Roman" w:cs="Times New Roman"/>
        </w:rPr>
        <w:t xml:space="preserve">-сообщений, </w:t>
      </w:r>
      <w:r w:rsidRPr="003B0DF2">
        <w:rPr>
          <w:rFonts w:ascii="Times New Roman" w:hAnsi="Times New Roman" w:cs="Times New Roman"/>
          <w:lang w:val="en-US"/>
        </w:rPr>
        <w:t>MMS</w:t>
      </w:r>
      <w:r w:rsidRPr="003B0DF2">
        <w:rPr>
          <w:rFonts w:ascii="Times New Roman" w:hAnsi="Times New Roman" w:cs="Times New Roman"/>
        </w:rPr>
        <w:t>-сообщений;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GPRS – роуминга;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приема наличных платежей;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доступа к информационно-развлекательному сервису (по тарифам Оператора).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Специальные предложения: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Отсутствие гарантийных взносов при подключении роуминга.</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Исполнитель по обращению уполномоченного лица Заказчика проводит демонстрации указанных в настоящих требованиях услуг. Возможность определения местоположения сотрудников Заказчика на электронной карте через «Интернет» на территории не менее 120 городов РФ, оперативное подключение услуги без участия конечного оборудования (SIM-карты) по заявлению Заказчика с указанием перечня фамилий сотрудников и номеров телефонов, возможность распечатывать отчеты о передвижениях сотрудников, регистрировать собственные объекты на электронной карте, возможность в реальном времени получить информацию о загруженности дорог, возможность построить оптимальный маршрут для транспортного средства  с учетом пробок, так и без них. Подключение вышеназванной услуги не должно предусматривать дополнительных затрат на оборудование и программное обеспечение.</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подключения услуги, позволяющей принимать входящие вызовы бесплатно при нахождении на территории любой страны (не менее 10 первых минут каждого разговора), абонентская плата должна составлять не более 10 рублей в сутки;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контролировать расходы заказчика по потреблению трафика GPRS в международном роуминге, путем снижения скорости при достижении определенного лимита.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сохранения доступа к сайтам Исполнителя при отключении доступа к другим ресурсам сети Интернет при нахождении в международном роуминге.</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переадресации входящих SMS, автоответа на входящие SMS и SMS-Архива.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координировать действия в команде сотрудников, отправляя SMS-сообщения с компьютера и получая ответы, отправлять сообщения с веб-сайта на несколько телефонов </w:t>
      </w:r>
      <w:r w:rsidRPr="003B0DF2">
        <w:rPr>
          <w:rFonts w:ascii="Times New Roman" w:hAnsi="Times New Roman" w:cs="Times New Roman"/>
        </w:rPr>
        <w:lastRenderedPageBreak/>
        <w:t xml:space="preserve">одним кликом,  принимать ответы от сотрудников; привязывать сообщения к тематическим тегам (проектам, задачам);  </w:t>
      </w:r>
      <w:proofErr w:type="spellStart"/>
      <w:r w:rsidRPr="003B0DF2">
        <w:rPr>
          <w:rFonts w:ascii="Times New Roman" w:hAnsi="Times New Roman" w:cs="Times New Roman"/>
        </w:rPr>
        <w:t>cоздавать</w:t>
      </w:r>
      <w:proofErr w:type="spellEnd"/>
      <w:r w:rsidRPr="003B0DF2">
        <w:rPr>
          <w:rFonts w:ascii="Times New Roman" w:hAnsi="Times New Roman" w:cs="Times New Roman"/>
        </w:rPr>
        <w:t xml:space="preserve"> запланированные рассылки;  осуществлять персонифицированную рассылку; указывать название компании в качестве подписи отправителя; контролировать статус и время доставки каждого сообщения; отправлять сообщения из собственно интерфейса (возможность интеграции).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Контроль подключенных услуг и тарифных опции мобильного интернета, а также возможность подключения Турбо-кнопок в один клик.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bCs/>
        </w:rPr>
        <w:t xml:space="preserve">Возможность использования специального </w:t>
      </w:r>
      <w:proofErr w:type="spellStart"/>
      <w:r w:rsidRPr="003B0DF2">
        <w:rPr>
          <w:rFonts w:ascii="Times New Roman" w:hAnsi="Times New Roman" w:cs="Times New Roman"/>
          <w:bCs/>
        </w:rPr>
        <w:t>web</w:t>
      </w:r>
      <w:proofErr w:type="spellEnd"/>
      <w:r w:rsidRPr="003B0DF2">
        <w:rPr>
          <w:rFonts w:ascii="Times New Roman" w:hAnsi="Times New Roman" w:cs="Times New Roman"/>
          <w:bCs/>
        </w:rPr>
        <w:t>-интерфейса Оператора, позволяющего Заказчику самостоятельно выполнять следующие действия: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услуг;</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скидок;</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рассылка SMS-сообщений;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заказ счетов и детализаций (в том числе, единого счета) с доставкой по e-</w:t>
      </w:r>
      <w:proofErr w:type="spellStart"/>
      <w:r w:rsidRPr="003B0DF2">
        <w:rPr>
          <w:rFonts w:ascii="Times New Roman" w:hAnsi="Times New Roman" w:cs="Times New Roman"/>
        </w:rPr>
        <w:t>mail</w:t>
      </w:r>
      <w:proofErr w:type="spellEnd"/>
      <w:r w:rsidRPr="003B0DF2">
        <w:rPr>
          <w:rFonts w:ascii="Times New Roman" w:hAnsi="Times New Roman" w:cs="Times New Roman"/>
        </w:rPr>
        <w:t xml:space="preserve"> или факсу;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формирование отчетов по трафику, начислениям, платежам, номерам компании;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совершенных ранее операций;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данных по конкретному абоненту (который относится к Заказчику) и т.д.</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Предоставление услуг доступа к пакетам </w:t>
      </w:r>
      <w:proofErr w:type="spellStart"/>
      <w:r w:rsidRPr="003B0DF2">
        <w:rPr>
          <w:rFonts w:ascii="Times New Roman" w:hAnsi="Times New Roman" w:cs="Times New Roman"/>
        </w:rPr>
        <w:t>Microsoft</w:t>
      </w:r>
      <w:proofErr w:type="spellEnd"/>
      <w:r w:rsidRPr="003B0DF2">
        <w:rPr>
          <w:rFonts w:ascii="Times New Roman" w:hAnsi="Times New Roman" w:cs="Times New Roman"/>
        </w:rPr>
        <w:t xml:space="preserve"> </w:t>
      </w:r>
      <w:proofErr w:type="spellStart"/>
      <w:r w:rsidRPr="003B0DF2">
        <w:rPr>
          <w:rFonts w:ascii="Times New Roman" w:hAnsi="Times New Roman" w:cs="Times New Roman"/>
        </w:rPr>
        <w:t>Office</w:t>
      </w:r>
      <w:proofErr w:type="spellEnd"/>
      <w:r w:rsidRPr="003B0DF2">
        <w:rPr>
          <w:rFonts w:ascii="Times New Roman" w:hAnsi="Times New Roman" w:cs="Times New Roman"/>
        </w:rPr>
        <w:t xml:space="preserve"> 365:</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Предоставления онлайн-доступа к офисным приложениям, бизнес-почте с объемом почтовых ящиков до 25 Гбайт и возможностью дополнительного архивирования, средствам обмена аудио- и видеоинформацией между компьютерами, с возможность организации аудио- и видеоконференций, а также к облачным хранилищам данных. Степень доступности сервиса должна быть не хуже, чем 99,9%.</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установить каждому сотруднику персональный бюджет расходов на служебную сотовую связь - заказчик устанавливает каждому сотруднику лимит его предполагаемых месячных расходов на служебную сотовую связь. Заказчик оплачивает счет на сумму, не превышающую установленного данному сотруднику лимита. Сотрудник самостоятельно оплачивает счет за услуги связи на сумму, превышающую лимит, установленный ему Заказчиком. Предоставление услуги бесплатно для заказчика. Предоставление услуги с обязательным подписанием трехстороннего соглашения.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Наличие услуги, предоставляющей: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правила списания денежных средств для общего лицевого счета;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несколько правил списания денежных средств;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виды услуг связи, которые компенсирует Заказчик (голос, SMS, данные);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дни недели и время суток, когда затраты на связь оплачивает Заказчик;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правила распределения поступающих на счёт компании денежных средств между счетами сотрудников;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lastRenderedPageBreak/>
        <w:t>- возможность оперативного получения бесплатных коротких сообщений в случае экстренной необходимости, согласно внутреннему регламенту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использования Услуги, позволяющей контролировать переговоры своих сотрудников посредством записи всех переговоров с мобильных номеров организации, оформленных на один договор:</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контроль входящих и исходящих вызовов;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установки расписания (дни недели, время);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управление сервисом через персональный </w:t>
      </w:r>
      <w:proofErr w:type="spellStart"/>
      <w:r w:rsidRPr="003B0DF2">
        <w:rPr>
          <w:rFonts w:ascii="Times New Roman" w:hAnsi="Times New Roman" w:cs="Times New Roman"/>
        </w:rPr>
        <w:t>web</w:t>
      </w:r>
      <w:proofErr w:type="spellEnd"/>
      <w:r w:rsidRPr="003B0DF2">
        <w:rPr>
          <w:rFonts w:ascii="Times New Roman" w:hAnsi="Times New Roman" w:cs="Times New Roman"/>
        </w:rPr>
        <w:t>-интерфейс в режиме реально времени;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выбора «только входящие» и/или опцию «только исходящие» записи звонков;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формирования отчетов и просмотра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срок хранения записанных переговоров до 30 дней.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Заказчик согласен и гарантирует, что </w:t>
      </w:r>
      <w:proofErr w:type="gramStart"/>
      <w:r w:rsidRPr="003B0DF2">
        <w:rPr>
          <w:rFonts w:ascii="Times New Roman" w:hAnsi="Times New Roman" w:cs="Times New Roman"/>
        </w:rPr>
        <w:t>пользователи  Абонентских</w:t>
      </w:r>
      <w:proofErr w:type="gramEnd"/>
      <w:r w:rsidRPr="003B0DF2">
        <w:rPr>
          <w:rFonts w:ascii="Times New Roman" w:hAnsi="Times New Roman" w:cs="Times New Roman"/>
        </w:rPr>
        <w:t xml:space="preserve"> номеров, оформленных на один договор Заказчика и на которые будет подключена Услуга, будут проинформированы о подключаемой услуге и с них будет получено  согласие на подключение такой услуги до начала ее оказания.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Заказчик  предупрежден и полностью согласен с тем, что в случае организации записи разговоров (далее «записи») в соответствии с требованиями действующего законодательства перед началом записи как при исходящем с Абонентских номеров, подключенных к Услуге, так и при входящем вызове на Абонентские номера, подключенные к Услуге,  в соответствии с настройками Услуги в обязательном порядке включается голосовое предупреждение о том, что разговор будет записан, после чего пользователям услуг телефонной связи (далее «пользователь») представляется время для разъединения телефонного соединения в случае несогласия на запись. В случае если пользователь не воспользовался возможностью разъединить телефонное соединение, согласие такого пользователя на запись считается полученным, начинается запись, и с этого момента осуществляется тарификация Услуги вплоть до разъединения телефонного соединения.  Оператор гарантирует сохранность и конфиденциальность всех записей, осуществленных с согласия пользователей.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вызова экстренных оперативных служб: пожарной охраны, милиции, скорой медицинской помощи, службы спасения и других аналогичных услуг, которые оговариваются на этапе заключения Контракта.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круглосуточного бесплатного справочно-информационного обслуживания.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Обслуживание государственного заказчика персональным менеджером компании.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Доставка выставляемых счетов курьером.</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отсрочки платежей без отключения радиотелефонов от сети сотовой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Должна обеспечиваться возможность демонстрации оказания услуг, указанных в техническом задании (по запросу).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Наличие и предоставление Заказчику лицензий: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подвижной радиотелефонной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 передаче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lastRenderedPageBreak/>
        <w:t>-</w:t>
      </w:r>
      <w:r w:rsidRPr="003B0DF2">
        <w:rPr>
          <w:rFonts w:ascii="Times New Roman" w:hAnsi="Times New Roman" w:cs="Times New Roman"/>
        </w:rPr>
        <w:tab/>
        <w:t>-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b/>
        </w:rPr>
        <w:br w:type="page"/>
      </w:r>
      <w:r w:rsidRPr="003B0DF2">
        <w:rPr>
          <w:rFonts w:ascii="Times New Roman" w:hAnsi="Times New Roman" w:cs="Times New Roman"/>
        </w:rPr>
        <w:lastRenderedPageBreak/>
        <w:t xml:space="preserve">Приложение № 1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Техническому заданию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Тарифный план (тарифные планы)</w:t>
      </w:r>
      <w:r w:rsidRPr="003B0DF2">
        <w:rPr>
          <w:rFonts w:ascii="Times New Roman" w:hAnsi="Times New Roman" w:cs="Times New Roman"/>
          <w:b/>
          <w:vertAlign w:val="superscript"/>
        </w:rPr>
        <w:footnoteReference w:id="1"/>
      </w:r>
    </w:p>
    <w:p w:rsidR="003B0DF2" w:rsidRPr="003B0DF2" w:rsidRDefault="003B0DF2" w:rsidP="003B0DF2">
      <w:pPr>
        <w:jc w:val="both"/>
        <w:rPr>
          <w:rFonts w:ascii="Times New Roman" w:hAnsi="Times New Roman" w:cs="Times New Roman"/>
          <w:b/>
        </w:rPr>
      </w:pPr>
    </w:p>
    <w:tbl>
      <w:tblPr>
        <w:tblW w:w="9442" w:type="dxa"/>
        <w:tblInd w:w="-34" w:type="dxa"/>
        <w:tblLayout w:type="fixed"/>
        <w:tblLook w:val="04A0" w:firstRow="1" w:lastRow="0" w:firstColumn="1" w:lastColumn="0" w:noHBand="0" w:noVBand="1"/>
      </w:tblPr>
      <w:tblGrid>
        <w:gridCol w:w="1022"/>
        <w:gridCol w:w="1417"/>
        <w:gridCol w:w="2155"/>
        <w:gridCol w:w="2410"/>
        <w:gridCol w:w="2438"/>
      </w:tblGrid>
      <w:tr w:rsidR="003B0DF2" w:rsidRPr="00BF5A08" w:rsidTr="00BF5A08">
        <w:trPr>
          <w:trHeight w:val="405"/>
        </w:trPr>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150"/>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Зона</w:t>
            </w:r>
          </w:p>
        </w:tc>
      </w:tr>
      <w:tr w:rsidR="003B0DF2" w:rsidRPr="00BF5A08" w:rsidTr="00BF5A08">
        <w:trPr>
          <w:trHeight w:val="102"/>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bCs/>
              </w:rPr>
            </w:pPr>
          </w:p>
        </w:tc>
      </w:tr>
      <w:tr w:rsidR="003B0DF2" w:rsidRPr="00BF5A08" w:rsidTr="00BF5A08">
        <w:trPr>
          <w:trHeight w:val="360"/>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553"/>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1 </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2 </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3 </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61</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r>
      <w:tr w:rsidR="003B0DF2" w:rsidRPr="00BF5A08" w:rsidTr="00BF5A08">
        <w:trPr>
          <w:trHeight w:val="69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Расходы на связь, не более, </w:t>
            </w:r>
            <w:proofErr w:type="spellStart"/>
            <w:r w:rsidRPr="00BF5A08">
              <w:rPr>
                <w:rFonts w:ascii="Times New Roman" w:hAnsi="Times New Roman" w:cs="Times New Roman"/>
              </w:rPr>
              <w:t>руб</w:t>
            </w:r>
            <w:proofErr w:type="spellEnd"/>
            <w:r w:rsidRPr="00BF5A08">
              <w:rPr>
                <w:rFonts w:ascii="Times New Roman" w:hAnsi="Times New Roman" w:cs="Times New Roman"/>
              </w:rPr>
              <w:t>/</w:t>
            </w:r>
            <w:proofErr w:type="spellStart"/>
            <w:r w:rsidRPr="00BF5A08">
              <w:rPr>
                <w:rFonts w:ascii="Times New Roman" w:hAnsi="Times New Roman" w:cs="Times New Roman"/>
              </w:rPr>
              <w:t>мес</w:t>
            </w:r>
            <w:proofErr w:type="spellEnd"/>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425,00</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595,00</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825,00</w:t>
            </w:r>
          </w:p>
        </w:tc>
      </w:tr>
      <w:tr w:rsidR="003B0DF2" w:rsidRPr="00BF5A08" w:rsidTr="00BF5A08">
        <w:trPr>
          <w:trHeight w:val="1245"/>
        </w:trPr>
        <w:tc>
          <w:tcPr>
            <w:tcW w:w="1022"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417"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пакет включено: </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300 минут на все номера Московского региона, не менее 5 Гб интернет-трафика, не менее 400 SMS; зона действия тарифного плана –все регионы РФ.</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1000 минут на все номера Московского региона, не менее 15 Гб интернет-трафика, не менее 300 SMS; зона действия тарифного плана – все регионы РФ.</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4000 минут на все номера Российской Федерации, не менее 30 Гб интернет-трафика, не менее 3000 SMS/MMS; зона действия – территория Российской Федерации).</w:t>
            </w:r>
          </w:p>
        </w:tc>
      </w:tr>
      <w:tr w:rsidR="003B0DF2" w:rsidRPr="00BF5A08" w:rsidTr="00BF5A08">
        <w:trPr>
          <w:trHeight w:val="268"/>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p>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"домашнем"</w:t>
            </w:r>
            <w:r w:rsidRPr="00BF5A08">
              <w:rPr>
                <w:rFonts w:ascii="Times New Roman" w:hAnsi="Times New Roman" w:cs="Times New Roman"/>
                <w:bCs/>
                <w:i/>
                <w:iCs/>
                <w:vertAlign w:val="superscript"/>
              </w:rPr>
              <w:footnoteReference w:id="2"/>
            </w:r>
            <w:r w:rsidRPr="00BF5A08">
              <w:rPr>
                <w:rFonts w:ascii="Times New Roman" w:hAnsi="Times New Roman" w:cs="Times New Roman"/>
                <w:bCs/>
                <w:i/>
                <w:iCs/>
              </w:rPr>
              <w:t xml:space="preserve"> регионе</w:t>
            </w:r>
          </w:p>
        </w:tc>
      </w:tr>
      <w:tr w:rsidR="003B0DF2" w:rsidRPr="00BF5A08" w:rsidTr="00BF5A08">
        <w:trPr>
          <w:trHeight w:val="9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958"/>
        </w:trPr>
        <w:tc>
          <w:tcPr>
            <w:tcW w:w="1022"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4</w:t>
            </w:r>
          </w:p>
        </w:tc>
        <w:tc>
          <w:tcPr>
            <w:tcW w:w="1417" w:type="dxa"/>
            <w:tcBorders>
              <w:top w:val="single" w:sz="4" w:space="0" w:color="auto"/>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890"/>
        </w:trPr>
        <w:tc>
          <w:tcPr>
            <w:tcW w:w="1022" w:type="dxa"/>
            <w:vMerge w:val="restart"/>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300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1000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r>
      <w:tr w:rsidR="003B0DF2" w:rsidRPr="00BF5A08" w:rsidTr="00BF5A08">
        <w:trPr>
          <w:trHeight w:val="433"/>
        </w:trPr>
        <w:tc>
          <w:tcPr>
            <w:tcW w:w="1022" w:type="dxa"/>
            <w:vMerge/>
            <w:tcBorders>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операторов фиксированной связи "домашнего региона"</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300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1000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c>
          <w:tcPr>
            <w:tcW w:w="2438"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1417" w:type="dxa"/>
            <w:vMerge/>
            <w:tcBorders>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38"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r>
      <w:tr w:rsidR="003B0DF2" w:rsidRPr="00BF5A08" w:rsidTr="00BF5A08">
        <w:trPr>
          <w:trHeight w:val="2527"/>
        </w:trPr>
        <w:tc>
          <w:tcPr>
            <w:tcW w:w="1022" w:type="dxa"/>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1417" w:type="dxa"/>
            <w:tcBorders>
              <w:top w:val="nil"/>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w:t>
            </w:r>
            <w:proofErr w:type="gramStart"/>
            <w:r w:rsidRPr="00BF5A08">
              <w:rPr>
                <w:rFonts w:ascii="Times New Roman" w:hAnsi="Times New Roman" w:cs="Times New Roman"/>
              </w:rPr>
              <w:t>00  руб.</w:t>
            </w:r>
            <w:proofErr w:type="gramEnd"/>
            <w:r w:rsidRPr="00BF5A08">
              <w:rPr>
                <w:rFonts w:ascii="Times New Roman" w:hAnsi="Times New Roman" w:cs="Times New Roman"/>
              </w:rPr>
              <w:t>/мин</w:t>
            </w:r>
          </w:p>
        </w:tc>
        <w:tc>
          <w:tcPr>
            <w:tcW w:w="2410"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tc>
        <w:tc>
          <w:tcPr>
            <w:tcW w:w="2438"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r>
      <w:tr w:rsidR="003B0DF2" w:rsidRPr="00BF5A08" w:rsidTr="00BF5A08">
        <w:trPr>
          <w:trHeight w:val="12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w:t>
            </w:r>
            <w:proofErr w:type="gramStart"/>
            <w:r w:rsidRPr="00BF5A08">
              <w:rPr>
                <w:rFonts w:ascii="Times New Roman" w:hAnsi="Times New Roman" w:cs="Times New Roman"/>
              </w:rPr>
              <w:t xml:space="preserve">мин,   </w:t>
            </w:r>
            <w:proofErr w:type="gramEnd"/>
            <w:r w:rsidRPr="00BF5A08">
              <w:rPr>
                <w:rFonts w:ascii="Times New Roman" w:hAnsi="Times New Roman" w:cs="Times New Roman"/>
              </w:rPr>
              <w:t xml:space="preserve">              включены в пакет</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7003" w:type="dxa"/>
            <w:gridSpan w:val="3"/>
            <w:tcBorders>
              <w:top w:val="single" w:sz="4" w:space="0" w:color="auto"/>
              <w:left w:val="nil"/>
              <w:bottom w:val="single" w:sz="4" w:space="0" w:color="auto"/>
              <w:right w:val="single" w:sz="4" w:space="0" w:color="000000"/>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Доступ к Интернет с телефона посредством беспроводных каналов GPRS/EDGE/3G и </w:t>
            </w:r>
            <w:r w:rsidRPr="00BF5A08">
              <w:rPr>
                <w:rFonts w:ascii="Times New Roman" w:hAnsi="Times New Roman" w:cs="Times New Roman"/>
                <w:lang w:val="en-US"/>
              </w:rPr>
              <w:t>LTE</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5 ГБ, включен в пакет услуг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15 ГБ, включен в пакет услуг</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30 ГБ, включены в пакет услуг</w:t>
            </w:r>
          </w:p>
        </w:tc>
      </w:tr>
      <w:tr w:rsidR="003B0DF2" w:rsidRPr="00BF5A08" w:rsidTr="00BF5A08">
        <w:trPr>
          <w:trHeight w:val="420"/>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роуминге (территория России)</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794"/>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0,00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0,00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519"/>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15</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других операторов сотовой </w:t>
            </w:r>
            <w:proofErr w:type="gramStart"/>
            <w:r w:rsidRPr="00BF5A08">
              <w:rPr>
                <w:rFonts w:ascii="Times New Roman" w:hAnsi="Times New Roman" w:cs="Times New Roman"/>
              </w:rPr>
              <w:t>связи  "</w:t>
            </w:r>
            <w:proofErr w:type="gramEnd"/>
            <w:r w:rsidRPr="00BF5A08">
              <w:rPr>
                <w:rFonts w:ascii="Times New Roman" w:hAnsi="Times New Roman" w:cs="Times New Roman"/>
              </w:rPr>
              <w:t>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9,95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1000 мин (вкл. в абон. плату)</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менее 4000 мин </w:t>
            </w:r>
            <w:proofErr w:type="gramStart"/>
            <w:r w:rsidRPr="00BF5A08">
              <w:rPr>
                <w:rFonts w:ascii="Times New Roman" w:hAnsi="Times New Roman" w:cs="Times New Roman"/>
              </w:rPr>
              <w:t>( вкл.</w:t>
            </w:r>
            <w:proofErr w:type="gramEnd"/>
            <w:r w:rsidRPr="00BF5A08">
              <w:rPr>
                <w:rFonts w:ascii="Times New Roman" w:hAnsi="Times New Roman" w:cs="Times New Roman"/>
              </w:rPr>
              <w:t xml:space="preserve"> в абон. плату)</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40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w:t>
            </w:r>
            <w:proofErr w:type="gramStart"/>
            <w:r w:rsidRPr="00BF5A08">
              <w:rPr>
                <w:rFonts w:ascii="Times New Roman" w:hAnsi="Times New Roman" w:cs="Times New Roman"/>
              </w:rPr>
              <w:t>связи  "</w:t>
            </w:r>
            <w:proofErr w:type="gramEnd"/>
            <w:r w:rsidRPr="00BF5A08">
              <w:rPr>
                <w:rFonts w:ascii="Times New Roman" w:hAnsi="Times New Roman" w:cs="Times New Roman"/>
              </w:rPr>
              <w:t>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9,95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мин </w:t>
            </w:r>
            <w:proofErr w:type="gramStart"/>
            <w:r w:rsidRPr="00BF5A08">
              <w:rPr>
                <w:rFonts w:ascii="Times New Roman" w:hAnsi="Times New Roman" w:cs="Times New Roman"/>
              </w:rPr>
              <w:t>( вкл.</w:t>
            </w:r>
            <w:proofErr w:type="gramEnd"/>
            <w:r w:rsidRPr="00BF5A08">
              <w:rPr>
                <w:rFonts w:ascii="Times New Roman" w:hAnsi="Times New Roman" w:cs="Times New Roman"/>
              </w:rPr>
              <w:t xml:space="preserve"> в абон. плату)</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9,95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4000 мин </w:t>
            </w:r>
            <w:proofErr w:type="gramStart"/>
            <w:r w:rsidRPr="00BF5A08">
              <w:rPr>
                <w:rFonts w:ascii="Times New Roman" w:hAnsi="Times New Roman" w:cs="Times New Roman"/>
              </w:rPr>
              <w:t>( вкл.</w:t>
            </w:r>
            <w:proofErr w:type="gramEnd"/>
            <w:r w:rsidRPr="00BF5A08">
              <w:rPr>
                <w:rFonts w:ascii="Times New Roman" w:hAnsi="Times New Roman" w:cs="Times New Roman"/>
              </w:rPr>
              <w:t xml:space="preserve"> в абон. плату)</w:t>
            </w:r>
          </w:p>
        </w:tc>
      </w:tr>
      <w:tr w:rsidR="003B0DF2" w:rsidRPr="00BF5A08" w:rsidTr="00BF5A08">
        <w:trPr>
          <w:trHeight w:val="1399"/>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 xml:space="preserve">Не более 3,00 </w:t>
            </w:r>
            <w:proofErr w:type="spellStart"/>
            <w:r w:rsidRPr="00BF5A08">
              <w:rPr>
                <w:rFonts w:ascii="Times New Roman" w:hAnsi="Times New Roman" w:cs="Times New Roman"/>
              </w:rPr>
              <w:t>руб</w:t>
            </w:r>
            <w:proofErr w:type="spellEnd"/>
            <w:r w:rsidRPr="00BF5A08">
              <w:rPr>
                <w:rFonts w:ascii="Times New Roman" w:hAnsi="Times New Roman" w:cs="Times New Roman"/>
              </w:rPr>
              <w:t>/мин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 xml:space="preserve">4000 мин </w:t>
            </w:r>
            <w:proofErr w:type="gramStart"/>
            <w:r w:rsidRPr="00BF5A08">
              <w:rPr>
                <w:rFonts w:ascii="Times New Roman" w:hAnsi="Times New Roman" w:cs="Times New Roman"/>
              </w:rPr>
              <w:t>( вкл.</w:t>
            </w:r>
            <w:proofErr w:type="gramEnd"/>
            <w:r w:rsidRPr="00BF5A08">
              <w:rPr>
                <w:rFonts w:ascii="Times New Roman" w:hAnsi="Times New Roman" w:cs="Times New Roman"/>
              </w:rPr>
              <w:t xml:space="preserve"> в абон. плату)</w:t>
            </w:r>
          </w:p>
        </w:tc>
      </w:tr>
      <w:tr w:rsidR="003B0DF2" w:rsidRPr="00BF5A08" w:rsidTr="00BF5A08">
        <w:trPr>
          <w:trHeight w:val="315"/>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bl>
    <w:p w:rsidR="003B0DF2" w:rsidRPr="003B0DF2" w:rsidRDefault="003B0DF2" w:rsidP="003B0DF2">
      <w:pPr>
        <w:jc w:val="both"/>
        <w:rPr>
          <w:rFonts w:ascii="Times New Roman" w:hAnsi="Times New Roman" w:cs="Times New Roman"/>
          <w:b/>
          <w:bCs/>
          <w:i/>
        </w:rPr>
      </w:pPr>
      <w:r w:rsidRPr="003B0DF2">
        <w:rPr>
          <w:rFonts w:ascii="Times New Roman" w:hAnsi="Times New Roman" w:cs="Times New Roman"/>
          <w:b/>
          <w:bCs/>
          <w:i/>
        </w:rPr>
        <w:tab/>
      </w:r>
    </w:p>
    <w:tbl>
      <w:tblPr>
        <w:tblW w:w="99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141"/>
        <w:gridCol w:w="1417"/>
        <w:gridCol w:w="1559"/>
      </w:tblGrid>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п/п</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Наименование вида услуги</w:t>
            </w:r>
          </w:p>
        </w:tc>
        <w:tc>
          <w:tcPr>
            <w:tcW w:w="1417" w:type="dxa"/>
            <w:tcBorders>
              <w:top w:val="single" w:sz="4" w:space="0" w:color="000000"/>
              <w:left w:val="single" w:sz="4" w:space="0" w:color="000000"/>
              <w:bottom w:val="single" w:sz="4" w:space="0" w:color="000000"/>
              <w:right w:val="single" w:sz="4" w:space="0" w:color="000000"/>
            </w:tcBorders>
          </w:tcPr>
          <w:p w:rsidR="003B0DF2" w:rsidRPr="00BF5A08" w:rsidRDefault="00BF5A08" w:rsidP="003B0DF2">
            <w:pPr>
              <w:jc w:val="both"/>
              <w:rPr>
                <w:rFonts w:ascii="Times New Roman" w:hAnsi="Times New Roman" w:cs="Times New Roman"/>
              </w:rPr>
            </w:pPr>
            <w:r>
              <w:rPr>
                <w:rFonts w:ascii="Times New Roman" w:hAnsi="Times New Roman" w:cs="Times New Roman"/>
              </w:rPr>
              <w:t>Единица измере</w:t>
            </w:r>
            <w:r w:rsidR="003B0DF2" w:rsidRPr="00BF5A08">
              <w:rPr>
                <w:rFonts w:ascii="Times New Roman" w:hAnsi="Times New Roman" w:cs="Times New Roman"/>
              </w:rPr>
              <w:t>ния</w:t>
            </w:r>
          </w:p>
        </w:tc>
        <w:tc>
          <w:tcPr>
            <w:tcW w:w="1559"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 xml:space="preserve">Цена за 1 (одну) единицу вида услуги не более, рублей, в </w:t>
            </w:r>
            <w:proofErr w:type="spellStart"/>
            <w:r w:rsidRPr="00BF5A08">
              <w:rPr>
                <w:rFonts w:ascii="Times New Roman" w:hAnsi="Times New Roman" w:cs="Times New Roman"/>
                <w:bCs/>
              </w:rPr>
              <w:t>т.ч</w:t>
            </w:r>
            <w:proofErr w:type="spellEnd"/>
            <w:r w:rsidRPr="00BF5A08">
              <w:rPr>
                <w:rFonts w:ascii="Times New Roman" w:hAnsi="Times New Roman" w:cs="Times New Roman"/>
                <w:bCs/>
              </w:rPr>
              <w:t>. НДС</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услуг сверх пакета и не входящих в пакет</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 xml:space="preserve">Местная связь (на территории Московской области) </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rPr>
          <w:trHeight w:val="191"/>
        </w:trPr>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телефоны внутри корпоративной группы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Исходящий вызовы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фиксированной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связи и операторов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остальных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любого международного оператора</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сотовой связи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proofErr w:type="gramStart"/>
            <w:r w:rsidRPr="00BF5A08">
              <w:rPr>
                <w:rFonts w:ascii="Times New Roman" w:hAnsi="Times New Roman" w:cs="Times New Roman"/>
                <w:lang w:val="en-US"/>
              </w:rPr>
              <w:t>G</w:t>
            </w:r>
            <w:r w:rsidRPr="00BF5A08">
              <w:rPr>
                <w:rFonts w:ascii="Times New Roman" w:hAnsi="Times New Roman" w:cs="Times New Roman"/>
              </w:rPr>
              <w:t xml:space="preserve">  и</w:t>
            </w:r>
            <w:proofErr w:type="gramEnd"/>
            <w:r w:rsidRPr="00BF5A08">
              <w:rPr>
                <w:rFonts w:ascii="Times New Roman" w:hAnsi="Times New Roman" w:cs="Times New Roman"/>
              </w:rPr>
              <w:t xml:space="preserve">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Внутрисетевой роуминг (на территории России)</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сотовой и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3,95</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proofErr w:type="gramStart"/>
            <w:r w:rsidRPr="00BF5A08">
              <w:rPr>
                <w:rFonts w:ascii="Times New Roman" w:hAnsi="Times New Roman" w:cs="Times New Roman"/>
                <w:lang w:val="en-US"/>
              </w:rPr>
              <w:t>G</w:t>
            </w:r>
            <w:r w:rsidRPr="00BF5A08">
              <w:rPr>
                <w:rFonts w:ascii="Times New Roman" w:hAnsi="Times New Roman" w:cs="Times New Roman"/>
              </w:rPr>
              <w:t xml:space="preserve">  и</w:t>
            </w:r>
            <w:proofErr w:type="gramEnd"/>
            <w:r w:rsidRPr="00BF5A08">
              <w:rPr>
                <w:rFonts w:ascii="Times New Roman" w:hAnsi="Times New Roman" w:cs="Times New Roman"/>
              </w:rPr>
              <w:t xml:space="preserve">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Состав и стоимость необходимых услуг связи для Интернет-номеров </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sidR="00BF5A08">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8180" w:type="dxa"/>
        <w:tblLayout w:type="fixed"/>
        <w:tblLook w:val="04A0" w:firstRow="1" w:lastRow="0" w:firstColumn="1" w:lastColumn="0" w:noHBand="0" w:noVBand="1"/>
      </w:tblPr>
      <w:tblGrid>
        <w:gridCol w:w="799"/>
        <w:gridCol w:w="3449"/>
        <w:gridCol w:w="1843"/>
        <w:gridCol w:w="2089"/>
      </w:tblGrid>
      <w:tr w:rsidR="003B0DF2" w:rsidRPr="00BF5A08" w:rsidTr="00BF5A08">
        <w:trPr>
          <w:trHeight w:val="988"/>
        </w:trPr>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rPr>
              <w:t>Московская область</w:t>
            </w:r>
          </w:p>
        </w:tc>
      </w:tr>
      <w:tr w:rsidR="003B0DF2" w:rsidRPr="00BF5A08" w:rsidTr="00BF5A08">
        <w:trPr>
          <w:trHeight w:val="345"/>
        </w:trPr>
        <w:tc>
          <w:tcPr>
            <w:tcW w:w="79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344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4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c>
          <w:tcPr>
            <w:tcW w:w="2089" w:type="dxa"/>
            <w:tcBorders>
              <w:top w:val="single" w:sz="4" w:space="0" w:color="auto"/>
              <w:left w:val="single" w:sz="4" w:space="0" w:color="auto"/>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Пакет 5</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w:t>
            </w:r>
            <w:proofErr w:type="spellStart"/>
            <w:r w:rsidRPr="00BF5A08">
              <w:rPr>
                <w:rFonts w:ascii="Times New Roman" w:hAnsi="Times New Roman" w:cs="Times New Roman"/>
              </w:rPr>
              <w:t>абон</w:t>
            </w:r>
            <w:proofErr w:type="spellEnd"/>
            <w:r w:rsidRPr="00BF5A08">
              <w:rPr>
                <w:rFonts w:ascii="Times New Roman" w:hAnsi="Times New Roman" w:cs="Times New Roman"/>
              </w:rPr>
              <w:t xml:space="preserve"> плата)</w:t>
            </w:r>
          </w:p>
        </w:tc>
      </w:tr>
      <w:tr w:rsidR="003B0DF2" w:rsidRPr="00BF5A08" w:rsidTr="00BF5A08">
        <w:trPr>
          <w:trHeight w:val="34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2089" w:type="dxa"/>
            <w:tcBorders>
              <w:top w:val="single" w:sz="4" w:space="0" w:color="auto"/>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r>
      <w:tr w:rsidR="003B0DF2" w:rsidRPr="00BF5A08" w:rsidTr="00BF5A08">
        <w:trPr>
          <w:trHeight w:val="76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Стоимость, не более, </w:t>
            </w:r>
            <w:proofErr w:type="spellStart"/>
            <w:r w:rsidRPr="00BF5A08">
              <w:rPr>
                <w:rFonts w:ascii="Times New Roman" w:hAnsi="Times New Roman" w:cs="Times New Roman"/>
              </w:rPr>
              <w:t>руб</w:t>
            </w:r>
            <w:proofErr w:type="spellEnd"/>
            <w:r w:rsidRPr="00BF5A08">
              <w:rPr>
                <w:rFonts w:ascii="Times New Roman" w:hAnsi="Times New Roman" w:cs="Times New Roman"/>
              </w:rPr>
              <w:t>/</w:t>
            </w:r>
            <w:proofErr w:type="spellStart"/>
            <w:r w:rsidRPr="00BF5A08">
              <w:rPr>
                <w:rFonts w:ascii="Times New Roman" w:hAnsi="Times New Roman" w:cs="Times New Roman"/>
              </w:rPr>
              <w:t>мес</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520,06 </w:t>
            </w:r>
            <w:proofErr w:type="spellStart"/>
            <w:r w:rsidRPr="00BF5A08">
              <w:rPr>
                <w:rFonts w:ascii="Times New Roman" w:hAnsi="Times New Roman" w:cs="Times New Roman"/>
              </w:rPr>
              <w:t>руб</w:t>
            </w:r>
            <w:proofErr w:type="spellEnd"/>
            <w:r w:rsidRPr="00BF5A08">
              <w:rPr>
                <w:rFonts w:ascii="Times New Roman" w:hAnsi="Times New Roman" w:cs="Times New Roman"/>
              </w:rPr>
              <w:t>/</w:t>
            </w:r>
            <w:proofErr w:type="spellStart"/>
            <w:r w:rsidRPr="00BF5A08">
              <w:rPr>
                <w:rFonts w:ascii="Times New Roman" w:hAnsi="Times New Roman" w:cs="Times New Roman"/>
              </w:rPr>
              <w:t>мес</w:t>
            </w:r>
            <w:proofErr w:type="spellEnd"/>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1273,45 </w:t>
            </w:r>
            <w:proofErr w:type="spellStart"/>
            <w:r w:rsidRPr="00BF5A08">
              <w:rPr>
                <w:rFonts w:ascii="Times New Roman" w:hAnsi="Times New Roman" w:cs="Times New Roman"/>
              </w:rPr>
              <w:t>руб</w:t>
            </w:r>
            <w:proofErr w:type="spellEnd"/>
            <w:r w:rsidRPr="00BF5A08">
              <w:rPr>
                <w:rFonts w:ascii="Times New Roman" w:hAnsi="Times New Roman" w:cs="Times New Roman"/>
              </w:rPr>
              <w:t>/</w:t>
            </w:r>
            <w:proofErr w:type="spellStart"/>
            <w:r w:rsidRPr="00BF5A08">
              <w:rPr>
                <w:rFonts w:ascii="Times New Roman" w:hAnsi="Times New Roman" w:cs="Times New Roman"/>
              </w:rPr>
              <w:t>мес</w:t>
            </w:r>
            <w:proofErr w:type="spellEnd"/>
          </w:p>
        </w:tc>
      </w:tr>
      <w:tr w:rsidR="003B0DF2" w:rsidRPr="00BF5A08" w:rsidTr="00BF5A08">
        <w:trPr>
          <w:trHeight w:val="1366"/>
        </w:trPr>
        <w:tc>
          <w:tcPr>
            <w:tcW w:w="799"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2.1******</w:t>
            </w:r>
          </w:p>
        </w:tc>
        <w:tc>
          <w:tcPr>
            <w:tcW w:w="3449"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1843"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7 ГБ.</w:t>
            </w:r>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30 ГБ</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Default="003B0DF2" w:rsidP="003B0DF2">
      <w:pPr>
        <w:jc w:val="both"/>
        <w:rPr>
          <w:rFonts w:ascii="Times New Roman" w:hAnsi="Times New Roman" w:cs="Times New Roman"/>
          <w:b/>
        </w:rPr>
      </w:pPr>
    </w:p>
    <w:p w:rsidR="00BF5A08" w:rsidRPr="003B0DF2" w:rsidRDefault="00BF5A08"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Состав и стоимость необходимых услуг связи </w:t>
      </w:r>
      <w:proofErr w:type="spellStart"/>
      <w:r w:rsidRPr="003B0DF2">
        <w:rPr>
          <w:rFonts w:ascii="Times New Roman" w:hAnsi="Times New Roman" w:cs="Times New Roman"/>
          <w:b/>
        </w:rPr>
        <w:t>Телематика</w:t>
      </w:r>
      <w:proofErr w:type="spellEnd"/>
    </w:p>
    <w:p w:rsidR="003B0DF2" w:rsidRPr="003B0DF2" w:rsidRDefault="00BF5A08"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9326" w:type="dxa"/>
        <w:tblLayout w:type="fixed"/>
        <w:tblLook w:val="04A0" w:firstRow="1" w:lastRow="0" w:firstColumn="1" w:lastColumn="0" w:noHBand="0" w:noVBand="1"/>
      </w:tblPr>
      <w:tblGrid>
        <w:gridCol w:w="1104"/>
        <w:gridCol w:w="1726"/>
        <w:gridCol w:w="6496"/>
      </w:tblGrid>
      <w:tr w:rsidR="003B0DF2" w:rsidRPr="00BF5A08" w:rsidTr="00BF5A08">
        <w:trPr>
          <w:trHeight w:val="373"/>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415"/>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rPr>
            </w:pPr>
          </w:p>
          <w:p w:rsidR="003B0DF2" w:rsidRPr="00BF5A08" w:rsidRDefault="003B0DF2" w:rsidP="003B0DF2">
            <w:pPr>
              <w:jc w:val="both"/>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29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1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r>
      <w:tr w:rsidR="003B0DF2" w:rsidRPr="00BF5A08" w:rsidTr="00BF5A08">
        <w:trPr>
          <w:trHeight w:val="29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r>
      <w:tr w:rsidR="003B0DF2" w:rsidRPr="00BF5A08" w:rsidTr="00BF5A08">
        <w:trPr>
          <w:trHeight w:val="638"/>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Стоимость, не более, </w:t>
            </w:r>
            <w:proofErr w:type="spellStart"/>
            <w:r w:rsidRPr="00BF5A08">
              <w:rPr>
                <w:rFonts w:ascii="Times New Roman" w:hAnsi="Times New Roman" w:cs="Times New Roman"/>
              </w:rPr>
              <w:t>руб</w:t>
            </w:r>
            <w:proofErr w:type="spellEnd"/>
            <w:r w:rsidRPr="00BF5A08">
              <w:rPr>
                <w:rFonts w:ascii="Times New Roman" w:hAnsi="Times New Roman" w:cs="Times New Roman"/>
              </w:rPr>
              <w:t>/</w:t>
            </w:r>
            <w:proofErr w:type="spellStart"/>
            <w:r w:rsidRPr="00BF5A08">
              <w:rPr>
                <w:rFonts w:ascii="Times New Roman" w:hAnsi="Times New Roman" w:cs="Times New Roman"/>
              </w:rPr>
              <w:t>мес</w:t>
            </w:r>
            <w:proofErr w:type="spellEnd"/>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28,10 </w:t>
            </w:r>
            <w:proofErr w:type="spellStart"/>
            <w:r w:rsidRPr="00BF5A08">
              <w:rPr>
                <w:rFonts w:ascii="Times New Roman" w:hAnsi="Times New Roman" w:cs="Times New Roman"/>
              </w:rPr>
              <w:t>руб</w:t>
            </w:r>
            <w:proofErr w:type="spellEnd"/>
            <w:r w:rsidRPr="00BF5A08">
              <w:rPr>
                <w:rFonts w:ascii="Times New Roman" w:hAnsi="Times New Roman" w:cs="Times New Roman"/>
              </w:rPr>
              <w:t>/мес.</w:t>
            </w:r>
          </w:p>
        </w:tc>
      </w:tr>
      <w:tr w:rsidR="003B0DF2" w:rsidRPr="00BF5A08" w:rsidTr="00BF5A08">
        <w:trPr>
          <w:trHeight w:val="1146"/>
        </w:trPr>
        <w:tc>
          <w:tcPr>
            <w:tcW w:w="1104"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72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Интернет не более 5 Мб;</w:t>
            </w:r>
          </w:p>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Возможность отправки смс-оповещений на номера корпоративной связи</w:t>
            </w:r>
          </w:p>
          <w:p w:rsidR="003B0DF2" w:rsidRPr="00BF5A08" w:rsidRDefault="003B0DF2" w:rsidP="003B0DF2">
            <w:pPr>
              <w:jc w:val="both"/>
              <w:rPr>
                <w:rFonts w:ascii="Times New Roman" w:hAnsi="Times New Roman" w:cs="Times New Roman"/>
              </w:rPr>
            </w:pPr>
          </w:p>
        </w:tc>
      </w:tr>
    </w:tbl>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Предусмотрена возможность введения новых дополнительных номеров по одному из предоставленных тарифов (не более 10 номеров).</w:t>
      </w:r>
    </w:p>
    <w:p w:rsidR="00754E23" w:rsidRPr="003B0DF2" w:rsidRDefault="00754E23" w:rsidP="00754E23">
      <w:pPr>
        <w:jc w:val="both"/>
        <w:rPr>
          <w:rFonts w:ascii="Times New Roman" w:hAnsi="Times New Roman" w:cs="Times New Roman"/>
          <w:b/>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w:t>
      </w:r>
      <w:r w:rsidR="00BF5A08">
        <w:rPr>
          <w:rFonts w:ascii="Times New Roman" w:hAnsi="Times New Roman" w:cs="Times New Roman"/>
        </w:rPr>
        <w:t>4</w:t>
      </w:r>
      <w:bookmarkStart w:id="0" w:name="_GoBack"/>
      <w:bookmarkEnd w:id="0"/>
      <w:r>
        <w:rPr>
          <w:rFonts w:ascii="Times New Roman" w:hAnsi="Times New Roman" w:cs="Times New Roman"/>
        </w:rPr>
        <w:t xml:space="preserve">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0605F" w:rsidRDefault="003B0DF2" w:rsidP="005B17CE">
      <w:pPr>
        <w:jc w:val="both"/>
        <w:rPr>
          <w:rFonts w:ascii="Times New Roman" w:hAnsi="Times New Roman" w:cs="Times New Roman"/>
        </w:rPr>
      </w:pPr>
      <w:r w:rsidRPr="003B0DF2">
        <w:drawing>
          <wp:inline distT="0" distB="0" distL="0" distR="0">
            <wp:extent cx="5939422" cy="804862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062" cy="8054913"/>
                    </a:xfrm>
                    <a:prstGeom prst="rect">
                      <a:avLst/>
                    </a:prstGeom>
                    <a:noFill/>
                    <a:ln>
                      <a:noFill/>
                    </a:ln>
                  </pic:spPr>
                </pic:pic>
              </a:graphicData>
            </a:graphic>
          </wp:inline>
        </w:drawing>
      </w:r>
    </w:p>
    <w:sectPr w:rsidR="00754E23" w:rsidRPr="0030605F" w:rsidSect="003B0DF2">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4EE" w:rsidRDefault="001574EE" w:rsidP="00D25920">
      <w:pPr>
        <w:spacing w:after="0" w:line="240" w:lineRule="auto"/>
      </w:pPr>
      <w:r>
        <w:separator/>
      </w:r>
    </w:p>
  </w:endnote>
  <w:endnote w:type="continuationSeparator" w:id="0">
    <w:p w:rsidR="001574EE" w:rsidRDefault="001574EE"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4EE" w:rsidRDefault="001574EE" w:rsidP="00D25920">
      <w:pPr>
        <w:spacing w:after="0" w:line="240" w:lineRule="auto"/>
      </w:pPr>
      <w:r>
        <w:separator/>
      </w:r>
    </w:p>
  </w:footnote>
  <w:footnote w:type="continuationSeparator" w:id="0">
    <w:p w:rsidR="001574EE" w:rsidRDefault="001574EE" w:rsidP="00D25920">
      <w:pPr>
        <w:spacing w:after="0" w:line="240" w:lineRule="auto"/>
      </w:pPr>
      <w:r>
        <w:continuationSeparator/>
      </w:r>
    </w:p>
  </w:footnote>
  <w:footnote w:id="1">
    <w:p w:rsidR="003B0DF2" w:rsidRPr="003C0DC4" w:rsidRDefault="003B0DF2" w:rsidP="003B0DF2">
      <w:pPr>
        <w:pStyle w:val="a6"/>
      </w:pPr>
      <w:r w:rsidRPr="002D0641">
        <w:rPr>
          <w:rStyle w:val="a8"/>
        </w:rPr>
        <w:footnoteRef/>
      </w:r>
      <w:r w:rsidRPr="003C0DC4">
        <w:t xml:space="preserve"> </w:t>
      </w:r>
      <w:r w:rsidRPr="003C0DC4">
        <w:rPr>
          <w:color w:val="000000"/>
        </w:rPr>
        <w:t xml:space="preserve">Заполняется при заключении </w:t>
      </w:r>
      <w:r w:rsidR="00BF5A08">
        <w:rPr>
          <w:color w:val="000000"/>
        </w:rPr>
        <w:t>договора</w:t>
      </w:r>
      <w:r w:rsidRPr="003C0DC4">
        <w:rPr>
          <w:color w:val="000000"/>
        </w:rPr>
        <w:t>. Тарифы на услуги в международном и национальном роуминге установлены Оператором отдельно и размещены на сайте Оператора.</w:t>
      </w:r>
    </w:p>
  </w:footnote>
  <w:footnote w:id="2">
    <w:p w:rsidR="003B0DF2" w:rsidRPr="003C0DC4" w:rsidRDefault="003B0DF2" w:rsidP="003B0DF2">
      <w:pPr>
        <w:pStyle w:val="a6"/>
      </w:pPr>
      <w:r>
        <w:rPr>
          <w:rStyle w:val="a8"/>
        </w:rPr>
        <w:footnoteRef/>
      </w:r>
      <w:r w:rsidRPr="003C0DC4">
        <w:t xml:space="preserve"> Домашний регион – это территория, где был зарегистрирован номер абонента.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27510FD0"/>
    <w:multiLevelType w:val="hybridMultilevel"/>
    <w:tmpl w:val="7B000C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8"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70DD20C4"/>
    <w:multiLevelType w:val="hybridMultilevel"/>
    <w:tmpl w:val="AACE4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7"/>
  </w:num>
  <w:num w:numId="2">
    <w:abstractNumId w:val="0"/>
  </w:num>
  <w:num w:numId="3">
    <w:abstractNumId w:val="10"/>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9"/>
  </w:num>
  <w:num w:numId="11">
    <w:abstractNumId w:val="8"/>
  </w:num>
  <w:num w:numId="12">
    <w:abstractNumId w:val="3"/>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02301"/>
    <w:rsid w:val="00112D0F"/>
    <w:rsid w:val="001574EE"/>
    <w:rsid w:val="001E6535"/>
    <w:rsid w:val="00200DA0"/>
    <w:rsid w:val="002773DC"/>
    <w:rsid w:val="0030605F"/>
    <w:rsid w:val="00316EC7"/>
    <w:rsid w:val="00364393"/>
    <w:rsid w:val="00391402"/>
    <w:rsid w:val="003B0DF2"/>
    <w:rsid w:val="00450075"/>
    <w:rsid w:val="005A5FCA"/>
    <w:rsid w:val="005B17CE"/>
    <w:rsid w:val="005E1AA1"/>
    <w:rsid w:val="00606638"/>
    <w:rsid w:val="00612C5B"/>
    <w:rsid w:val="00645C50"/>
    <w:rsid w:val="006C2F6C"/>
    <w:rsid w:val="00711D84"/>
    <w:rsid w:val="00726B92"/>
    <w:rsid w:val="00754E23"/>
    <w:rsid w:val="00771C98"/>
    <w:rsid w:val="007841EB"/>
    <w:rsid w:val="00867CB5"/>
    <w:rsid w:val="008937D8"/>
    <w:rsid w:val="00AB76E9"/>
    <w:rsid w:val="00AE4C27"/>
    <w:rsid w:val="00B032F2"/>
    <w:rsid w:val="00B04ADF"/>
    <w:rsid w:val="00B827B0"/>
    <w:rsid w:val="00BF5A08"/>
    <w:rsid w:val="00CC62B0"/>
    <w:rsid w:val="00CD5A9A"/>
    <w:rsid w:val="00D25920"/>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0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 w:id="2080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8DF0-A8D5-4867-A75C-BED163C7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24</Pages>
  <Words>6739</Words>
  <Characters>38418</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20</cp:revision>
  <dcterms:created xsi:type="dcterms:W3CDTF">2020-10-01T08:03:00Z</dcterms:created>
  <dcterms:modified xsi:type="dcterms:W3CDTF">2021-02-02T07:54:00Z</dcterms:modified>
</cp:coreProperties>
</file>