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02.11.05.01</w:t>
            </w:r>
            <w:r w:rsidR="005E1E29">
              <w:rPr>
                <w:b/>
              </w:rPr>
              <w:t xml:space="preserve"> / </w:t>
            </w:r>
            <w:r w:rsidR="005E1E29">
              <w:t>86.90.15.000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клинической лаборатории</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проведению гистологических, гистохимических, цитологических, молекулярных исследований биологического материала</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0F5335" w14:paraId="1575AC1F" w14:textId="7D57870B">
            <w:pPr>
              <w:ind w:firstLine="0"/>
            </w:pPr>
            <w:r w:rsidRPr="00445533" w:rsidR="00E870E6">
              <w:t>Услуги клинической лаборатории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оказания услуг</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проведению гистологических, гистохимических, цитологических, молекулярных исследований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проведению гистологических, гистохимических, цитологических, молекулярных исследований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069037-22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