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03.04.02</w:t>
            </w:r>
            <w:r w:rsidR="005E1E29">
              <w:rPr>
                <w:b/>
              </w:rPr>
              <w:t xml:space="preserve"> / </w:t>
            </w:r>
            <w:r w:rsidR="005E1E29">
              <w:t>43.21.10.140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r>
        <w:tc>
          <w:tcPr>
            <w:tcW w:w="14743"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263"/>
              <w:gridCol w:w="5417"/>
              <w:gridCol w:w="3220"/>
              <w:gridCol w:w="3835"/>
            </w:tblGrid>
            <w:tr>
              <w:tc>
                <w:tcPr>
                  <w:tcW w:w="2263" w:type="dxa"/>
                  <w:tcBorders>
                    <w:top w:val="nil"/>
                  </w:tcBorders>
                  <w:shd w:val="clear" w:color="auto" w:fill="auto"/>
                  <w:tcMar>
                    <w:left w:w="115" w:type="dxa"/>
                    <w:right w:w="115" w:type="dxa"/>
                  </w:tcMar>
                </w:tcPr>
                <w:p w:rsidRPr="00B33F3B" w:rsidR="005E1E29" w:rsidP="009643D6" w:rsidRDefault="005E1E29" w14:paraId="2A0AD4F9" w14:textId="77777777">
                  <w:pPr>
                    <w:pStyle w:val="aff2"/>
                    <w:rPr>
                      <w:sz w:val="2"/>
                    </w:rPr>
                  </w:pPr>
                </w:p>
              </w:tc>
              <w:tc>
                <w:tcPr>
                  <w:tcW w:w="5417" w:type="dxa"/>
                  <w:tcBorders>
                    <w:top w:val="nil"/>
                  </w:tcBorders>
                  <w:shd w:val="clear" w:color="auto" w:fill="auto"/>
                  <w:tcMar>
                    <w:left w:w="115" w:type="dxa"/>
                    <w:right w:w="115" w:type="dxa"/>
                  </w:tcMar>
                </w:tcPr>
                <w:p w:rsidRPr="00B4788C" w:rsidR="005E1E29" w:rsidP="009643D6" w:rsidRDefault="005E1E29" w14:paraId="7C99174A" w14:textId="77777777">
                  <w:pPr>
                    <w:pStyle w:val="aff2"/>
                    <w:rPr>
                      <w:b/>
                      <w:sz w:val="20"/>
                      <w:szCs w:val="20"/>
                    </w:rPr>
                  </w:pPr>
                  <w:r w:rsidRPr="00B4788C">
                    <w:rPr>
                      <w:b/>
                      <w:sz w:val="20"/>
                      <w:szCs w:val="20"/>
                    </w:rPr>
                    <w:t>Наименование видов (этапов) работ</w:t>
                  </w:r>
                </w:p>
              </w:tc>
              <w:tc>
                <w:tcPr>
                  <w:tcW w:w="3220" w:type="dxa"/>
                  <w:tcBorders>
                    <w:top w:val="nil"/>
                  </w:tcBorders>
                  <w:tcMar>
                    <w:left w:w="115" w:type="dxa"/>
                    <w:right w:w="115" w:type="dxa"/>
                  </w:tcMar>
                </w:tcPr>
                <w:p w:rsidRPr="00B4788C" w:rsidR="005E1E29" w:rsidP="009643D6" w:rsidRDefault="005E1E29" w14:paraId="181F72FD" w14:textId="77777777">
                  <w:pPr>
                    <w:pStyle w:val="aff2"/>
                    <w:rPr>
                      <w:b/>
                      <w:sz w:val="20"/>
                      <w:szCs w:val="20"/>
                    </w:rPr>
                  </w:pPr>
                  <w:r w:rsidRPr="00B4788C">
                    <w:rPr>
                      <w:b/>
                      <w:sz w:val="20"/>
                      <w:szCs w:val="20"/>
                    </w:rPr>
                    <w:t>Наименование файла сметы</w:t>
                  </w:r>
                </w:p>
              </w:tc>
              <w:tc>
                <w:tcPr>
                  <w:tcW w:w="3835" w:type="dxa"/>
                  <w:tcBorders>
                    <w:top w:val="nil"/>
                  </w:tcBorders>
                  <w:tcMar>
                    <w:left w:w="115" w:type="dxa"/>
                    <w:right w:w="115" w:type="dxa"/>
                  </w:tcMar>
                </w:tcPr>
                <w:p w:rsidRPr="00B4788C" w:rsidR="005E1E29" w:rsidP="009643D6" w:rsidRDefault="005E1E29" w14:paraId="098B0631" w14:textId="77777777">
                  <w:pPr>
                    <w:pStyle w:val="aff2"/>
                    <w:rPr>
                      <w:b/>
                      <w:sz w:val="20"/>
                      <w:szCs w:val="20"/>
                    </w:rPr>
                  </w:pPr>
                  <w:r w:rsidRPr="00B4788C">
                    <w:rPr>
                      <w:b/>
                      <w:sz w:val="20"/>
                      <w:szCs w:val="20"/>
                    </w:rPr>
                    <w:t>Общая стоимость по смете, руб.</w:t>
                  </w:r>
                </w:p>
              </w:tc>
            </w:tr>
            <w:tr>
              <w:tc>
                <w:tcPr>
                  <w:tcW w:w="2263" w:type="dxa"/>
                  <w:shd w:val="clear" w:color="auto" w:fill="auto"/>
                  <w:tcMar>
                    <w:left w:w="115" w:type="dxa"/>
                    <w:right w:w="115" w:type="dxa"/>
                  </w:tcMar>
                </w:tcPr>
                <w:p w:rsidRPr="00B33F3B" w:rsidR="005E1E29" w:rsidP="009643D6" w:rsidRDefault="005E1E29" w14:paraId="05E7D25C" w14:textId="77777777">
                  <w:pPr>
                    <w:pStyle w:val="aff2"/>
                    <w:rPr>
                      <w:rFonts w:eastAsiaTheme="minorHAnsi"/>
                      <w:sz w:val="2"/>
                    </w:rPr>
                  </w:pPr>
                </w:p>
              </w:tc>
              <w:tc>
                <w:tcPr>
                  <w:tcW w:w="5417" w:type="dxa"/>
                  <w:shd w:val="clear" w:color="auto" w:fill="auto"/>
                  <w:tcMar>
                    <w:left w:w="115" w:type="dxa"/>
                    <w:right w:w="115" w:type="dxa"/>
                  </w:tcMar>
                </w:tcPr>
                <w:p w:rsidRPr="00B33F3B" w:rsidR="005E1E29" w:rsidP="009643D6" w:rsidRDefault="00807CBE" w14:paraId="297DB54B" w14:textId="77777777">
                  <w:pPr>
                    <w:pStyle w:val="aff2"/>
                    <w:rPr>
                      <w:b/>
                      <w:sz w:val="20"/>
                      <w:szCs w:val="20"/>
                    </w:rPr>
                  </w:pPr>
                  <w:r w:rsidRPr="00B33F3B" w:rsidR="005E1E29">
                    <w:rPr>
                      <w:b/>
                      <w:sz w:val="20"/>
                      <w:szCs w:val="20"/>
                      <w:lang w:val="en-US"/>
                    </w:rPr>
                    <w:t>Смета без Сводного Сметного Расчета (ССР)</w:t>
                  </w:r>
                </w:p>
              </w:tc>
              <w:tc>
                <w:tcPr>
                  <w:tcW w:w="3220" w:type="dxa"/>
                  <w:tcMar>
                    <w:left w:w="115" w:type="dxa"/>
                    <w:right w:w="115" w:type="dxa"/>
                  </w:tcMar>
                </w:tcPr>
                <w:p w:rsidRPr="00B33F3B" w:rsidR="005E1E29" w:rsidP="009643D6" w:rsidRDefault="00807CBE" w14:paraId="56A0B59E" w14:textId="77777777">
                  <w:pPr>
                    <w:pStyle w:val="aff2"/>
                    <w:rPr>
                      <w:b/>
                      <w:sz w:val="20"/>
                      <w:szCs w:val="20"/>
                    </w:rPr>
                  </w:pPr>
                  <w:r w:rsidRPr="00B33F3B" w:rsidR="005E1E29">
                    <w:rPr>
                      <w:b/>
                      <w:sz w:val="20"/>
                      <w:szCs w:val="20"/>
                      <w:lang w:val="en-US"/>
                    </w:rPr>
                    <w:t>«Согласованная ГАУ СО МО СОЦ Лесная поляна замена АПС и СОУЭ — копия»</w:t>
                  </w:r>
                </w:p>
              </w:tc>
              <w:tc>
                <w:tcPr>
                  <w:tcW w:w="3835" w:type="dxa"/>
                  <w:tcMar>
                    <w:left w:w="115" w:type="dxa"/>
                    <w:right w:w="115" w:type="dxa"/>
                  </w:tcMar>
                </w:tcPr>
                <w:p w:rsidRPr="00233066" w:rsidR="00233066" w:rsidP="00233066" w:rsidRDefault="00807CBE" w14:paraId="49F4115E" w14:textId="77777777">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5E1E29" w:rsidP="009643D6" w:rsidRDefault="005E1E29" w14:paraId="6E645127" w14:textId="0CCEB23C">
                  <w:pPr>
                    <w:pStyle w:val="aff2"/>
                    <w:jc w:val="right"/>
                    <w:rPr>
                      <w:b/>
                      <w:sz w:val="20"/>
                      <w:szCs w:val="20"/>
                    </w:rPr>
                  </w:pPr>
                </w:p>
              </w:tc>
            </w:tr>
          </w:tbl>
          <w:p w:rsidRPr="00B84784" w:rsidR="005E1E29" w:rsidP="009643D6" w:rsidRDefault="00807CBE" w14:paraId="652486D5" w14:textId="77777777">
            <w:pPr>
              <w:ind w:firstLine="0"/>
              <w:rPr>
                <w:sz w:val="2"/>
              </w:rPr>
            </w:pP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581C38" w:rsidRDefault="00807CBE" w14:paraId="6EECDA2E" w14:textId="7FBD65E3">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FE162B">
              <w:rPr>
                <w:b/>
              </w:rPr>
              <w:t>**</w:t>
            </w:r>
            <w:r w:rsidRPr="00FE162B" w:rsidR="00FE162B">
              <w:t xml:space="preserve"> </w:t>
            </w:r>
            <w:r w:rsidR="00304EDC">
              <w:rPr>
                <w:b/>
              </w:rPr>
              <w:t>без НДС</w:t>
            </w:r>
            <w:r w:rsidRPr="00174CB9" w:rsidR="00304EDC">
              <w:rPr>
                <w:b/>
              </w:rPr>
              <w:t>:</w:t>
            </w:r>
          </w:p>
          <w:p w:rsidR="00304EDC" w:rsidP="00581C38" w:rsidRDefault="00304EDC" w14:paraId="0F7B095B" w14:textId="77777777">
            <w:pPr>
              <w:tabs>
                <w:tab w:val="left" w:pos="7690"/>
              </w:tabs>
              <w:ind w:firstLine="0"/>
              <w:jc w:val="right"/>
              <w:rPr>
                <w:b/>
              </w:rPr>
            </w:pPr>
            <w:r>
              <w:rPr>
                <w:b/>
              </w:rPr>
              <w:t>НДС</w:t>
            </w:r>
            <w:r w:rsidRPr="00174CB9">
              <w:rPr>
                <w:b/>
              </w:rPr>
              <w:t>:</w:t>
            </w:r>
          </w:p>
          <w:p w:rsidRPr="00174CB9" w:rsidR="00304EDC" w:rsidP="00FE162B" w:rsidRDefault="00807CBE" w14:paraId="7E22983C" w14:textId="6A32E7C1">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FE162B">
              <w:t xml:space="preserve"> </w:t>
            </w:r>
            <w:r w:rsidR="00FE162B">
              <w:rPr>
                <w:b/>
              </w:rPr>
              <w:t>**</w:t>
            </w:r>
            <w:r w:rsidRPr="00FE162B" w:rsidR="00FE162B">
              <w:t xml:space="preserve"> </w:t>
            </w:r>
            <w:r w:rsidRPr="00174CB9" w:rsidR="00304EDC">
              <w:rPr>
                <w:b/>
              </w:rPr>
              <w:t>с НДС:</w:t>
            </w:r>
          </w:p>
        </w:tc>
        <w:tc>
          <w:tcPr>
            <w:tcW w:w="3828" w:type="dxa"/>
            <w:shd w:val="clear" w:color="auto" w:fill="auto"/>
          </w:tcPr>
          <w:p w:rsidRPr="00E64CDE" w:rsidR="00304EDC" w:rsidP="00581C38" w:rsidRDefault="00807CBE" w14:paraId="10372E23" w14:textId="77777777">
            <w:pPr>
              <w:pStyle w:val="aff2"/>
              <w:ind w:right="-108"/>
            </w:pPr>
            <w:r w:rsidRPr="003B1D0A" w:rsidR="00304EDC">
              <w:rPr>
                <w:b/>
                <w:lang w:val="en-US"/>
              </w:rPr>
              <w:t>6 769 683,14</w:t>
            </w:r>
          </w:p>
          <w:p w:rsidRPr="00E64CDE" w:rsidR="00304EDC" w:rsidP="00581C38" w:rsidRDefault="00807CBE" w14:paraId="2FF19D67" w14:textId="77777777">
            <w:pPr>
              <w:pStyle w:val="aff2"/>
            </w:pPr>
            <w:r w:rsidRPr="00414453" w:rsidR="00304EDC">
              <w:rPr>
                <w:b/>
                <w:lang w:val="en-US"/>
              </w:rPr>
              <w:t>Без НДС</w:t>
            </w:r>
          </w:p>
          <w:p w:rsidRPr="00E64CDE" w:rsidR="00304EDC" w:rsidP="00581C38" w:rsidRDefault="00807CBE" w14:paraId="63304418" w14:textId="77777777">
            <w:pPr>
              <w:pStyle w:val="aff2"/>
            </w:pPr>
            <w:r w:rsidR="00304EDC">
              <w:rPr>
                <w:b/>
                <w:lang w:val="en-US"/>
              </w:rPr>
              <w:t>6 769 683,14</w:t>
            </w:r>
          </w:p>
        </w:tc>
      </w:tr>
    </w:tbl>
    <w:p w:rsidRPr="000C1137" w:rsidR="000C1137" w:rsidP="000C1137" w:rsidRDefault="00807CBE" w14:paraId="2C435291" w14:textId="77777777">
      <w:pPr>
        <w:pStyle w:val="aff2"/>
        <w:rPr>
          <w:sz w:val="2"/>
          <w:szCs w:val="2"/>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r w:rsidRPr="006A1F31" w:rsidR="006A1F31">
        <w:t xml:space="preserve"> </w:t>
      </w: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r w:rsidRPr="00B50009">
        <w:rPr>
          <w:b/>
          <w:lang w:val="en-US"/>
        </w:rPr>
        <w:t>:</w:t>
      </w:r>
      <w:r w:rsidRPr="00B50009">
        <w:rPr>
          <w:lang w:val="en-US"/>
        </w:rPr>
        <w:t xml:space="preserve"> </w:t>
      </w:r>
      <w:r w:rsidRPr="00B50009">
        <w:rPr>
          <w:lang w:val="en-US"/>
        </w:rPr>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r w:rsidRPr="00B50009">
        <w:rPr>
          <w:b/>
          <w:lang w:val="en-US"/>
        </w:rPr>
        <w:t xml:space="preserve">: </w:t>
      </w:r>
      <w:r w:rsidRPr="00B50009">
        <w:rPr>
          <w:lang w:val="en-US"/>
        </w:rPr>
        <w:t>Смета без Сводного Сметного Расчета (ССР)</w:t>
      </w:r>
      <w:r w:rsidRPr="00B50009">
        <w:rPr>
          <w:lang w:val="en-US"/>
        </w:rPr>
        <w:t xml:space="preserve"> </w:t>
      </w:r>
    </w:p>
    <w:p w:rsidRPr="00F1189E" w:rsidR="006A2093" w:rsidP="006A2093" w:rsidRDefault="006A2093" w14:paraId="381F9354" w14:textId="77777777">
      <w:pPr>
        <w:rPr>
          <w:lang w:val="en-US"/>
        </w:rPr>
      </w:pPr>
      <w:r w:rsidRPr="00E459ED">
        <w:rPr>
          <w:b/>
        </w:rPr>
        <w:t>Наименование</w:t>
      </w:r>
      <w:r w:rsidRPr="00F1189E">
        <w:rPr>
          <w:b/>
          <w:lang w:val="en-US"/>
        </w:rPr>
        <w:t xml:space="preserve"> </w:t>
      </w:r>
      <w:r w:rsidRPr="00E459ED">
        <w:rPr>
          <w:b/>
        </w:rPr>
        <w:t>файла</w:t>
      </w:r>
      <w:r w:rsidRPr="00F1189E">
        <w:rPr>
          <w:b/>
          <w:lang w:val="en-US"/>
        </w:rPr>
        <w:t xml:space="preserve"> </w:t>
      </w:r>
      <w:r w:rsidRPr="00E459ED">
        <w:rPr>
          <w:b/>
        </w:rPr>
        <w:t>сметы</w:t>
      </w:r>
      <w:r w:rsidRPr="00F1189E">
        <w:rPr>
          <w:b/>
          <w:lang w:val="en-US"/>
        </w:rPr>
        <w:t>:</w:t>
      </w:r>
      <w:r w:rsidRPr="00F1189E">
        <w:rPr>
          <w:lang w:val="en-US"/>
        </w:rPr>
        <w:t xml:space="preserve"> </w:t>
      </w:r>
      <w:r w:rsidRPr="00F1189E">
        <w:rPr>
          <w:lang w:val="en-US"/>
        </w:rPr>
        <w:t>«Согласованная ГАУ СО МО СОЦ Лесная поляна замена АПС и СОУЭ — копия»</w:t>
      </w: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807CBE"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4B9BDF95" w14:textId="77777777">
            <w:pPr>
              <w:pStyle w:val="aff1"/>
              <w:numPr>
                <w:ilvl w:val="0"/>
                <w:numId w:val="5"/>
              </w:numPr>
              <w:jc w:val="both"/>
              <w:rPr>
                <w:lang w:val="en-US"/>
              </w:rPr>
            </w:pPr>
            <w:r w:rsidR="00473384">
              <w:rPr>
                <w:lang w:val="en-US"/>
              </w:rPr>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 (Смета без Сводного Сметного Расчета (ССР))</w:t>
            </w:r>
          </w:p>
          <w:p w:rsidRPr="009D6D60" w:rsidR="00473384" w:rsidP="00473384" w:rsidRDefault="00807CBE" w14:paraId="35DD4114" w14:textId="77777777">
            <w:pPr>
              <w:pStyle w:val="aff1"/>
              <w:ind w:firstLine="0"/>
              <w:jc w:val="both"/>
            </w:pPr>
            <w:r w:rsidRPr="00A316D0" w:rsidR="00473384">
              <w:rPr>
                <w:lang w:val="en-US"/>
              </w:rPr>
              <w:t>Физический объем работ: согласно смете</w:t>
            </w:r>
            <w:r w:rsidRPr="009E792A" w:rsidR="00473384">
              <w:rPr>
                <w:b/>
                <w:lang w:val="en-US"/>
              </w:rPr>
              <w:t xml:space="preserve"> </w:t>
            </w:r>
            <w:r w:rsidRPr="00BA2482" w:rsidR="00473384">
              <w:rPr>
                <w:lang w:val="en-US"/>
              </w:rPr>
              <w:t>«Согласованная ГАУ СО МО СОЦ Лесная поляна замена АПС и СОУЭ — копия»</w:t>
            </w:r>
          </w:p>
          <w:p w:rsidRPr="00674617" w:rsidR="00674617" w:rsidP="00674617" w:rsidRDefault="00674617" w14:paraId="2BD4C99F" w14:textId="579109E3">
            <w:pPr>
              <w:ind w:firstLine="0"/>
              <w:jc w:val="both"/>
              <w:rPr>
                <w:lang w:val="en-US"/>
              </w:rPr>
            </w:pPr>
            <w:r>
              <w:rPr>
                <w:lang w:val="en-US"/>
              </w:rPr>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b/>
                <w:sz w:val="24"/>
                <w:szCs w:val="24"/>
              </w:rPr>
              <w:t xml:space="preserve"> </w:t>
            </w:r>
            <w:r w:rsidRPr="006C3750" w:rsidR="00560E3D">
              <w:rPr>
                <w:rFonts w:ascii="Times New Roman" w:hAnsi="Times New Roman" w:cs="Times New Roman"/>
                <w:b/>
                <w:sz w:val="24"/>
                <w:szCs w:val="24"/>
              </w:rPr>
              <w:t>*</w:t>
            </w:r>
            <w:r w:rsidRPr="006C3750" w:rsidR="00560E3D">
              <w:rPr>
                <w:rFonts w:ascii="Times New Roman" w:hAnsi="Times New Roman" w:cs="Times New Roman" w:eastAsiaTheme="minorHAnsi"/>
                <w:b/>
                <w:kern w:val="0"/>
                <w:sz w:val="24"/>
                <w:szCs w:val="24"/>
                <w:lang w:eastAsia="en-US"/>
              </w:rPr>
              <w:t>*</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Авансовый платёж за 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2070" w:type="dxa"/>
            <w:tcBorders>
              <w:bottom w:val="single" w:color="auto" w:sz="4" w:space="0"/>
            </w:tcBorders>
          </w:tcPr>
          <w:p w:rsidR="00B94160" w:rsidRDefault="00807CBE" w14:paraId="5DCCBA67" w14:textId="64894B6D">
            <w:pPr>
              <w:pStyle w:val="aff2"/>
              <w:rPr>
                <w:lang w:val="en-US"/>
              </w:rPr>
            </w:pPr>
            <w:r w:rsidR="00C40026">
              <w:t>Аванс</w:t>
            </w:r>
            <w:r w:rsidRPr="006C3750" w:rsidR="00946EB4">
              <w:rPr>
                <w:b/>
              </w:rPr>
              <w:t xml:space="preserve"> </w:t>
            </w:r>
            <w:r w:rsidRPr="006C3750" w:rsidR="00946EB4">
              <w:rPr>
                <w:rFonts w:eastAsiaTheme="minorHAnsi"/>
                <w:b/>
                <w:lang w:eastAsia="en-US"/>
              </w:rPr>
              <w:t>*</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b/>
                <w:sz w:val="24"/>
                <w:szCs w:val="24"/>
                <w:lang w:val="en-US"/>
              </w:rPr>
              <w:t xml:space="preserve"> </w:t>
            </w:r>
            <w:r w:rsidR="00AE59EB">
              <w:rPr>
                <w:rFonts w:ascii="Times New Roman" w:hAnsi="Times New Roman" w:cs="Times New Roman"/>
                <w:b/>
                <w:sz w:val="24"/>
                <w:szCs w:val="24"/>
                <w:lang w:val="en-US"/>
              </w:rPr>
              <w:t>**</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 xml:space="preserve"> </w:t>
            </w:r>
            <w:r w:rsidRPr="000D685C" w:rsidR="00E66BBA">
              <w:t>30 % </w:t>
            </w:r>
            <w:r w:rsidRPr="000D685C" w:rsidR="00E66BBA">
              <w:t xml:space="preserve"> </w:t>
            </w:r>
            <w:r w:rsidR="00E66BBA">
              <w:t>от</w:t>
            </w:r>
            <w:r w:rsidRPr="000D685C" w:rsidR="00E66BBA">
              <w:t xml:space="preserve"> </w:t>
            </w:r>
            <w:r w:rsidR="00E66BBA">
              <w:t>цены</w:t>
            </w:r>
            <w:r w:rsidRPr="000D685C" w:rsidR="00E66BBA">
              <w:t xml:space="preserve"> </w:t>
            </w:r>
            <w:r w:rsidR="00E66BBA">
              <w:t>договора</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7 раб. дн. от даты подписания документа-предшественника </w:t>
            </w:r>
            <w:r w:rsidR="00C40026">
              <w:rPr>
                <w:lang w:val="en-US"/>
              </w:rPr>
              <w:t xml:space="preserve"> </w:t>
            </w:r>
            <w:r w:rsidR="00C40026">
              <w:rPr>
                <w:lang w:val="en-US"/>
              </w:rPr>
              <w:t> «Счёт на оплату (Аванс 30%)» (Выполнение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за 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b/>
                <w:sz w:val="24"/>
                <w:szCs w:val="24"/>
                <w:lang w:val="en-US"/>
              </w:rPr>
              <w:t xml:space="preserve"> </w:t>
            </w:r>
            <w:r w:rsidR="00AE59EB">
              <w:rPr>
                <w:rFonts w:ascii="Times New Roman" w:hAnsi="Times New Roman" w:cs="Times New Roman"/>
                <w:b/>
                <w:sz w:val="24"/>
                <w:szCs w:val="24"/>
                <w:lang w:val="en-US"/>
              </w:rPr>
              <w:t>**</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00263F1D" w:rsidP="00263F1D" w:rsidRDefault="00263F1D" w14:paraId="3C462308" w14:textId="135A7493">
      <w:pPr>
        <w:pStyle w:val="Standard"/>
        <w:jc w:val="both"/>
        <w:rPr>
          <w:sz w:val="24"/>
          <w:szCs w:val="24"/>
        </w:rPr>
      </w:pPr>
      <w:r w:rsidRPr="0085078C">
        <w:rPr>
          <w:rFonts w:ascii="Times New Roman" w:hAnsi="Times New Roman" w:cs="Times New Roman" w:eastAsiaTheme="minorHAnsi"/>
          <w:kern w:val="0"/>
          <w:sz w:val="24"/>
          <w:szCs w:val="24"/>
          <w:lang w:eastAsia="en-US"/>
        </w:rPr>
        <w:t xml:space="preserve">* </w:t>
      </w:r>
      <w:r w:rsidRPr="00263F1D">
        <w:rPr>
          <w:rFonts w:ascii="Times New Roman" w:hAnsi="Times New Roman" w:cs="Times New Roman"/>
          <w:iCs/>
          <w:color w:val="000000"/>
          <w:sz w:val="24"/>
          <w:szCs w:val="24"/>
          <w:shd w:val="clear" w:color="auto" w:fill="FFFFFF"/>
        </w:rPr>
        <w:t>Если</w:t>
      </w:r>
      <w:r w:rsidRPr="0085078C">
        <w:rPr>
          <w:rFonts w:ascii="Times New Roman" w:hAnsi="Times New Roman" w:cs="Times New Roman"/>
          <w:iCs/>
          <w:color w:val="000000"/>
          <w:sz w:val="24"/>
          <w:szCs w:val="24"/>
          <w:shd w:val="clear" w:color="auto" w:fill="FFFFFF"/>
        </w:rPr>
        <w:t xml:space="preserve"> </w:t>
      </w:r>
      <w:r w:rsidRPr="00263F1D">
        <w:rPr>
          <w:rFonts w:ascii="Times New Roman" w:hAnsi="Times New Roman" w:cs="Times New Roman"/>
          <w:iCs/>
          <w:color w:val="000000"/>
          <w:sz w:val="24"/>
          <w:szCs w:val="24"/>
          <w:shd w:val="clear" w:color="auto" w:fill="FFFFFF"/>
        </w:rPr>
        <w:t xml:space="preserve">участником закупки, с которым заключается </w:t>
      </w:r>
      <w:r w:rsidR="00FA5E96">
        <w:rPr>
          <w:rFonts w:ascii="Times New Roman" w:hAnsi="Times New Roman" w:cs="Times New Roman"/>
          <w:color w:val="000000"/>
          <w:sz w:val="24"/>
          <w:szCs w:val="24"/>
          <w:shd w:val="clear" w:color="auto" w:fill="FFFFFF"/>
        </w:rPr>
        <w:t>договор</w:t>
      </w:r>
      <w:r w:rsidRPr="00263F1D">
        <w:rPr>
          <w:rFonts w:ascii="Times New Roman" w:hAnsi="Times New Roman" w:cs="Times New Roman"/>
          <w:iCs/>
          <w:color w:val="000000"/>
          <w:sz w:val="24"/>
          <w:szCs w:val="24"/>
          <w:shd w:val="clear" w:color="auto" w:fill="FFFFFF"/>
        </w:rPr>
        <w:t xml:space="preserve">, предложена цена </w:t>
      </w:r>
      <w:r w:rsidR="00FA5E96">
        <w:rPr>
          <w:rFonts w:ascii="Times New Roman" w:hAnsi="Times New Roman" w:cs="Times New Roman"/>
          <w:color w:val="000000"/>
          <w:sz w:val="24"/>
          <w:szCs w:val="24"/>
          <w:shd w:val="clear" w:color="auto" w:fill="FFFFFF"/>
        </w:rPr>
        <w:t>договора</w:t>
      </w:r>
      <w:r w:rsidRPr="00263F1D">
        <w:rPr>
          <w:rFonts w:ascii="Times New Roman" w:hAnsi="Times New Roman" w:cs="Times New Roman"/>
          <w:iCs/>
          <w:color w:val="000000"/>
          <w:sz w:val="24"/>
          <w:szCs w:val="24"/>
          <w:shd w:val="clear" w:color="auto" w:fill="FFFFFF"/>
        </w:rPr>
        <w:t xml:space="preserve">, которая на двадцать пять и более процентов ниже начальной (максимальной) цены </w:t>
      </w:r>
      <w:r w:rsidR="00FA5E96">
        <w:rPr>
          <w:rFonts w:ascii="Times New Roman" w:hAnsi="Times New Roman" w:cs="Times New Roman"/>
          <w:color w:val="000000"/>
          <w:sz w:val="24"/>
          <w:szCs w:val="24"/>
          <w:shd w:val="clear" w:color="auto" w:fill="FFFFFF"/>
        </w:rPr>
        <w:t>договора</w:t>
      </w:r>
      <w:r w:rsidRPr="00263F1D">
        <w:rPr>
          <w:rFonts w:ascii="Times New Roman" w:hAnsi="Times New Roman" w:cs="Times New Roman"/>
          <w:iCs/>
          <w:color w:val="000000"/>
          <w:sz w:val="24"/>
          <w:szCs w:val="24"/>
          <w:shd w:val="clear" w:color="auto" w:fill="FFFFFF"/>
        </w:rPr>
        <w:t>, либо предложена сумма цен единиц товара, работы, услуги, которая на двадцать пять и более процентов ниже начальной суммы цен указанных единиц, выплата аванса при испо</w:t>
      </w:r>
      <w:r>
        <w:rPr>
          <w:rFonts w:ascii="Times New Roman" w:hAnsi="Times New Roman" w:cs="Times New Roman"/>
          <w:iCs/>
          <w:color w:val="000000"/>
          <w:sz w:val="24"/>
          <w:szCs w:val="24"/>
          <w:shd w:val="clear" w:color="auto" w:fill="FFFFFF"/>
        </w:rPr>
        <w:t xml:space="preserve">лнении </w:t>
      </w:r>
      <w:r w:rsidR="00FA5E96">
        <w:rPr>
          <w:rFonts w:ascii="Times New Roman" w:hAnsi="Times New Roman" w:cs="Times New Roman"/>
          <w:color w:val="000000"/>
          <w:sz w:val="24"/>
          <w:szCs w:val="24"/>
          <w:shd w:val="clear" w:color="auto" w:fill="FFFFFF"/>
        </w:rPr>
        <w:t>договора</w:t>
      </w:r>
      <w:r w:rsidR="00FA5E96">
        <w:t xml:space="preserve"> </w:t>
      </w:r>
      <w:r w:rsidRPr="000D685C" w:rsidR="00FA5E96">
        <w:t xml:space="preserve"> </w:t>
      </w:r>
      <w:r>
        <w:rPr>
          <w:rFonts w:ascii="Times New Roman" w:hAnsi="Times New Roman" w:cs="Times New Roman"/>
          <w:iCs/>
          <w:color w:val="000000"/>
          <w:sz w:val="24"/>
          <w:szCs w:val="24"/>
          <w:shd w:val="clear" w:color="auto" w:fill="FFFFFF"/>
        </w:rPr>
        <w:t>не допускается</w:t>
      </w:r>
      <w:r>
        <w:rPr>
          <w:rFonts w:ascii="Segoe UI" w:hAnsi="Segoe UI" w:cs="Segoe UI"/>
          <w:color w:val="000000"/>
          <w:sz w:val="21"/>
          <w:szCs w:val="21"/>
          <w:shd w:val="clear" w:color="auto" w:fill="FFFFFF"/>
        </w:rPr>
        <w:t>.</w:t>
      </w: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Pr="00FA5E96" w:rsidR="00263F1D">
        <w:rPr>
          <w:rFonts w:ascii="Times New Roman" w:hAnsi="Times New Roman" w:cs="Times New Roman"/>
          <w:sz w:val="24"/>
          <w:szCs w:val="24"/>
        </w:rPr>
        <w:t xml:space="preserve"> </w:t>
      </w: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eastAsiaTheme="minorHAnsi"/>
          <w:kern w:val="0"/>
          <w:sz w:val="24"/>
          <w:szCs w:val="24"/>
          <w:lang w:eastAsia="en-US"/>
        </w:rPr>
        <w:t>*</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Pr="00FA5E96" w:rsidR="00AE59EB">
        <w:rPr>
          <w:rFonts w:ascii="Times New Roman" w:hAnsi="Times New Roman" w:cs="Times New Roman"/>
          <w:sz w:val="24"/>
          <w:szCs w:val="24"/>
        </w:rPr>
        <w:t xml:space="preserve"> </w:t>
      </w: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eastAsiaTheme="minorHAnsi"/>
          <w:kern w:val="0"/>
          <w:sz w:val="24"/>
          <w:szCs w:val="24"/>
          <w:lang w:eastAsia="en-US"/>
        </w:rPr>
        <w:t>*</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учреждение социального обслуживания Московской области «Социально-оздоровительный центр «Лесная поляна»</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Волоколамский район, п. ст. Дубосеково, 8, ДОЛ «Имени 28 Героев Панфиловцев»</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Волоколамский район, д. Середниково ДОЛ «Осташево»</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Клинский район, поселок Чайковского, 10, СОО ДОЛ «Звонкие голоса»</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Авансовый платёж за 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 (Аванс 30%)</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начала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за 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замене системы АПС и СОУЭ в филиалах ГАУ СО МО «Социально-оздоровительный центр «Лесная поляна» ДОЛ «Имени 28 Героев Панфиловцев», СОО ДОЛ «Звонкие голоса», ДОЛ «Осташево»</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065051-21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