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128488-21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расходных материалов для гистологии</w:t>
      </w:r>
    </w:p>
    <w:p w:rsidR="007C3BF1" w:rsidRDefault="008C2287">
      <w:pPr>
        <w:ind w:left="1418"/>
      </w:pPr>
      <w:r>
        <w:t xml:space="preserve">Цена </w:t>
      </w:r>
      <w:r>
        <w:t>договора</w:t>
      </w:r>
      <w:r>
        <w:t xml:space="preserve">, руб.: </w:t>
      </w:r>
      <w:r>
        <w:t>302 480,04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01.21.03.847</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Витрогель</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01.71.02.02.01.01.01.5148</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Гематоксилин раствор ИВД</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01.21.01.02.56.206</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Инструмент для извлечения лезвия из скальпеля, стерильный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12,00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01.21.03.4947</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Парафин для проводки и заливки тканей, R-019/500</w:t>
            </w:r>
          </w:p>
        </w:tc>
        <w:tc>
          <w:tcPr>
            <w:tcW w:w="2430" w:type="dxa"/>
          </w:tcPr>
          <w:p w:rsidR="007C3BF1" w:rsidRDefault="008C2287">
            <w:pPr>
              <w:pStyle w:val="aff1"/>
            </w:pPr>
            <w:r>
              <w:t>(не указано)*</w:t>
            </w:r>
          </w:p>
        </w:tc>
        <w:tc>
          <w:tcPr>
            <w:tcW w:w="1654" w:type="dxa"/>
          </w:tcPr>
          <w:p w:rsidR="007C3BF1" w:rsidRDefault="007A2A88">
            <w:pPr>
              <w:pStyle w:val="aff1"/>
            </w:pPr>
            <w:r w:rsidR="008C2287">
              <w:t>12,00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01.21.01.02.56.644</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Стекло покровное для микроскопа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12,00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01.21.01.06.02.284</w:t>
            </w:r>
            <w:r w:rsidR="008C2287">
              <w:rPr>
                <w:b/>
              </w:rPr>
              <w:t xml:space="preserve"> / </w:t>
            </w:r>
            <w:r w:rsidR="008C2287">
              <w:t>32.50.50.190</w:t>
            </w:r>
          </w:p>
          <w:p w:rsidR="007C3BF1" w:rsidRDefault="007A2A88">
            <w:pPr>
              <w:pStyle w:val="aff1"/>
              <w:rPr>
                <w:lang w:val="en-US"/>
              </w:rPr>
            </w:pPr>
          </w:p>
        </w:tc>
        <w:tc>
          <w:tcPr>
            <w:tcW w:w="3003" w:type="dxa"/>
            <w:shd w:val="clear" w:color="auto" w:fill="auto"/>
          </w:tcPr>
          <w:p w:rsidR="007C3BF1" w:rsidRDefault="007A2A88">
            <w:pPr>
              <w:pStyle w:val="aff1"/>
            </w:pPr>
            <w:r w:rsidR="008C2287">
              <w:t>Стекло предметное/слайд для микроскопии цервикальных цитологических мазков ИВД</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01.21.03.7206</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Эозин водно-спиртовой концентрированный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расходных материалов для гистологии</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Витрогель</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Гематоксилин раствор ИВД</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Инструмент для извлечения лезвия из скальпеля, стерильный</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Парафин для проводки и заливки тканей, R-019/500</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33.10.15.619, </w:t>
            </w:r>
            <w:r w:rsidRPr="000B5400" w:rsidR="008C2287">
              <w:t xml:space="preserve"> </w:t>
            </w:r>
            <w:r w:rsidR="008C2287">
              <w:t>наименование</w:t>
            </w:r>
            <w:r w:rsidRPr="000B5400" w:rsidR="008C2287">
              <w:t xml:space="preserve">:  </w:t>
            </w:r>
            <w:r w:rsidRPr="000B5400" w:rsidR="008C2287">
              <w:t>Стекло покровное для микроскопа</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Стекло предметное/слайд для микроскопии цервикальных цитологических мазков ИВД</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Эозин водно-спиртовой концентрированный</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расходных материалов для гистологии</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расходных материалов для гистологии)</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расходных материалов для гистологии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расходных материалов для гистологии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расходных материалов для гистологии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расходных материалов для гистологии</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расходных материалов для гистологии</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расходных материалов для гистологии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Поставка расходных материалов для гистологии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расходных материалов для гистологии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расходных материалов для гистологии</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