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1F71C5">
        <w:rPr>
          <w:rFonts w:ascii="Times New Roman" w:hAnsi="Times New Roman" w:cs="Times New Roman"/>
          <w:b/>
          <w:sz w:val="28"/>
          <w:szCs w:val="28"/>
        </w:rPr>
        <w:t>О.В. Калинина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111">
        <w:rPr>
          <w:rFonts w:ascii="Times New Roman" w:hAnsi="Times New Roman" w:cs="Times New Roman"/>
          <w:b/>
          <w:sz w:val="28"/>
          <w:szCs w:val="28"/>
        </w:rPr>
        <w:t>25</w:t>
      </w:r>
      <w:proofErr w:type="gramEnd"/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15CDA">
        <w:rPr>
          <w:rFonts w:ascii="Times New Roman" w:hAnsi="Times New Roman" w:cs="Times New Roman"/>
          <w:b/>
          <w:sz w:val="28"/>
          <w:szCs w:val="28"/>
        </w:rPr>
        <w:t>января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B80E4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D15CD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B80E4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D15CD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D15CDA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69480D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="0069480D">
              <w:t xml:space="preserve">в течении 6 месяцев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69480D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18 096 717 </w:t>
            </w:r>
            <w:r w:rsidR="00AE555A" w:rsidRPr="00783DD0">
              <w:t>(</w:t>
            </w:r>
            <w:r>
              <w:t>восемнадцать</w:t>
            </w:r>
            <w:r w:rsidR="00F21D1E">
              <w:t xml:space="preserve"> </w:t>
            </w:r>
            <w:r w:rsidR="00AE555A" w:rsidRPr="00783DD0">
              <w:t>миллион</w:t>
            </w:r>
            <w:r w:rsidR="00A74C68">
              <w:t>ов</w:t>
            </w:r>
            <w:r>
              <w:t xml:space="preserve"> девяносто шесть тысяч семьсот семнадцать</w:t>
            </w:r>
            <w:r w:rsidR="00AE555A" w:rsidRPr="00783DD0">
              <w:t>) рубл</w:t>
            </w:r>
            <w:r w:rsidR="001F71C5">
              <w:t>ей</w:t>
            </w:r>
            <w:r w:rsidR="00AE555A" w:rsidRPr="00783DD0">
              <w:t xml:space="preserve"> </w:t>
            </w:r>
            <w:r>
              <w:t>18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B03306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0D642E">
              <w:rPr>
                <w:rFonts w:eastAsia="Arial Unicode MS"/>
                <w:color w:val="000000"/>
              </w:rPr>
              <w:t>Цена Договора указана с учетом всех расходов Исполнителя, связанных с оказанием услуг, в том числе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EF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EF6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«2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80E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bookmarkStart w:id="0" w:name="_GoBack"/>
            <w:bookmarkEnd w:id="0"/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января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EF65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«2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2022 г. с момента размещения в ЕИС по «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2022 года в 09 ч. 00 мин. (время московское).</w:t>
            </w:r>
            <w:bookmarkEnd w:id="1"/>
            <w:bookmarkEnd w:id="2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365B23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2022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рассмотрения вторых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DB17C6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2022 года в 12 ч. 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января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</w:t>
            </w:r>
            <w:r w:rsidR="00FA71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03306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ч. 00 мин.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DB17C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</w:t>
            </w:r>
            <w:r w:rsidR="00EF6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января 202</w:t>
            </w:r>
            <w:r w:rsidR="00FA712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17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B80E40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133C5"/>
    <w:rsid w:val="000347D1"/>
    <w:rsid w:val="00056564"/>
    <w:rsid w:val="000B762E"/>
    <w:rsid w:val="000F5594"/>
    <w:rsid w:val="00110A97"/>
    <w:rsid w:val="00132551"/>
    <w:rsid w:val="0013373F"/>
    <w:rsid w:val="00141504"/>
    <w:rsid w:val="001A6DAA"/>
    <w:rsid w:val="001F71C5"/>
    <w:rsid w:val="002C487B"/>
    <w:rsid w:val="00314A0E"/>
    <w:rsid w:val="003318FF"/>
    <w:rsid w:val="003324AB"/>
    <w:rsid w:val="00364531"/>
    <w:rsid w:val="00365B23"/>
    <w:rsid w:val="003A078D"/>
    <w:rsid w:val="003C04DF"/>
    <w:rsid w:val="004161CF"/>
    <w:rsid w:val="004D4286"/>
    <w:rsid w:val="004D7F18"/>
    <w:rsid w:val="00511B91"/>
    <w:rsid w:val="00545F00"/>
    <w:rsid w:val="00590BAE"/>
    <w:rsid w:val="005C295A"/>
    <w:rsid w:val="005F0C67"/>
    <w:rsid w:val="0069480D"/>
    <w:rsid w:val="006A1B54"/>
    <w:rsid w:val="006E5DBB"/>
    <w:rsid w:val="00706A7A"/>
    <w:rsid w:val="007263BE"/>
    <w:rsid w:val="00744D06"/>
    <w:rsid w:val="00783DD0"/>
    <w:rsid w:val="007902F5"/>
    <w:rsid w:val="007A1111"/>
    <w:rsid w:val="007B3281"/>
    <w:rsid w:val="007B7638"/>
    <w:rsid w:val="008477A1"/>
    <w:rsid w:val="00930FEA"/>
    <w:rsid w:val="009456BB"/>
    <w:rsid w:val="009A70C2"/>
    <w:rsid w:val="00A0311A"/>
    <w:rsid w:val="00A57DFF"/>
    <w:rsid w:val="00A74C68"/>
    <w:rsid w:val="00AE555A"/>
    <w:rsid w:val="00B03306"/>
    <w:rsid w:val="00B04CE3"/>
    <w:rsid w:val="00B17265"/>
    <w:rsid w:val="00B5324F"/>
    <w:rsid w:val="00B80E40"/>
    <w:rsid w:val="00BE6C7E"/>
    <w:rsid w:val="00C31A0E"/>
    <w:rsid w:val="00C60280"/>
    <w:rsid w:val="00C73385"/>
    <w:rsid w:val="00CD645F"/>
    <w:rsid w:val="00CF4ED8"/>
    <w:rsid w:val="00D15CDA"/>
    <w:rsid w:val="00D92F50"/>
    <w:rsid w:val="00D955A6"/>
    <w:rsid w:val="00DB17C6"/>
    <w:rsid w:val="00DD6976"/>
    <w:rsid w:val="00E94CD7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4EC5-5F60-4953-B567-718600A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comp 8</cp:lastModifiedBy>
  <cp:revision>52</cp:revision>
  <cp:lastPrinted>2021-12-08T09:38:00Z</cp:lastPrinted>
  <dcterms:created xsi:type="dcterms:W3CDTF">2016-06-15T14:13:00Z</dcterms:created>
  <dcterms:modified xsi:type="dcterms:W3CDTF">2022-01-25T06:50:00Z</dcterms:modified>
</cp:coreProperties>
</file>