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</w:r>
      <w:r w:rsidRPr="008C7996">
        <w:rPr>
          <w:rFonts w:ascii="Times New Roman" w:hAnsi="Times New Roman" w:cs="Times New Roman"/>
        </w:rPr>
        <w:br/>
        <w:t>Карасев Михаил Валерьевич</w:t>
      </w:r>
      <w:r w:rsidRPr="008C7996">
        <w:rPr>
          <w:rFonts w:ascii="Times New Roman" w:hAnsi="Times New Roman" w:cs="Times New Roman"/>
        </w:rPr>
        <w:br/>
        <w:t>генеральный директор</w:t>
      </w:r>
      <w:r w:rsidRPr="008C7996">
        <w:rPr>
          <w:rFonts w:ascii="Times New Roman" w:hAnsi="Times New Roman" w:cs="Times New Roman"/>
        </w:rPr>
        <w:br/>
        <w:t>Акционерное общество «Тепло Шатуры»</w:t>
      </w:r>
      <w:r w:rsidRPr="008C7996">
        <w:rPr>
          <w:rFonts w:ascii="Times New Roman" w:hAnsi="Times New Roman" w:cs="Times New Roman"/>
        </w:rPr>
        <w:br/>
        <w:t>«24» июля 2023г.</w:t>
      </w:r>
      <w:r w:rsidRPr="008C7996">
        <w:rPr>
          <w:rFonts w:ascii="Times New Roman" w:hAnsi="Times New Roman" w:cs="Times New Roman"/>
        </w:rPr>
        <w:br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3FEA2906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ИЗВЕЩЕНИЕ ОБ ОСУЩЕСТВЛЕНИИ </w:t>
      </w:r>
      <w:r w:rsidR="009A268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АУКЦИОНА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Акционерное общество «Тепло Шатуры»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140700, Московская область, Г.О. ШАТУРА, Г ШАТУРА, ПРОЕЗД КОННЫЙ, Д. 7, ПОМЕЩ. 6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140700, Московская область, Г.О. ШАТУРА, Г ШАТУРА, ПРОЕЗД КОННЫЙ, Д. 7, ПОМЕЩ. 6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ks_teplo@mail.ru</w:t>
            </w:r>
          </w:p>
          <w:p w14:paraId="046CFD15" w14:textId="77D657C2" w:rsidR="00D6639E" w:rsidRDefault="00DA4ED6" w:rsidP="00FE30D0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 xml:space="preserve">Ответственное должностное лицо: </w:t>
            </w:r>
            <w:r w:rsidR="00FE30D0">
              <w:rPr>
                <w:rFonts w:ascii="Times New Roman" w:hAnsi="Times New Roman" w:cs="Times New Roman"/>
                <w:color w:val="00000A"/>
              </w:rPr>
              <w:t>Карасев М.В.</w:t>
            </w:r>
            <w:bookmarkStart w:id="6" w:name="_GoBack"/>
            <w:bookmarkEnd w:id="6"/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7" w:name="_Toc376103896"/>
            <w:bookmarkStart w:id="8" w:name="_Toc376103993"/>
            <w:bookmarkStart w:id="9" w:name="_Toc376104151"/>
            <w:bookmarkStart w:id="10" w:name="_Toc376104425"/>
            <w:bookmarkStart w:id="11" w:name="_Toc375898290"/>
            <w:bookmarkStart w:id="12" w:name="_Toc375898874"/>
            <w:bookmarkStart w:id="13" w:name="_Toc376103897"/>
            <w:bookmarkStart w:id="14" w:name="_Toc376103994"/>
            <w:bookmarkStart w:id="15" w:name="_Toc376104152"/>
            <w:bookmarkStart w:id="16" w:name="_Toc37610442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7" w:name="_Toc375898291"/>
            <w:bookmarkStart w:id="18" w:name="_Toc375898875"/>
            <w:bookmarkStart w:id="19" w:name="_Toc376103898"/>
            <w:bookmarkStart w:id="20" w:name="_Toc376103995"/>
            <w:bookmarkStart w:id="21" w:name="_Toc376104153"/>
            <w:bookmarkStart w:id="22" w:name="_Toc376104427"/>
            <w:bookmarkStart w:id="23" w:name="OLE_LINK116437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Аукцион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4" w:name="_Toc375898292"/>
            <w:bookmarkStart w:id="25" w:name="_Toc375898876"/>
            <w:bookmarkStart w:id="26" w:name="_Toc376103899"/>
            <w:bookmarkStart w:id="27" w:name="_Toc376103996"/>
            <w:bookmarkStart w:id="28" w:name="_Toc376104154"/>
            <w:bookmarkStart w:id="29" w:name="_Toc376104428"/>
            <w:bookmarkEnd w:id="24"/>
            <w:bookmarkEnd w:id="25"/>
            <w:bookmarkEnd w:id="26"/>
            <w:bookmarkEnd w:id="27"/>
            <w:bookmarkEnd w:id="28"/>
            <w:bookmarkEnd w:id="2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30" w:name="_Toc375898293"/>
            <w:bookmarkStart w:id="31" w:name="_Toc375898877"/>
            <w:bookmarkStart w:id="32" w:name="_Toc375898294"/>
            <w:bookmarkStart w:id="33" w:name="_Toc375898878"/>
            <w:bookmarkStart w:id="34" w:name="_Toc375898296"/>
            <w:bookmarkStart w:id="35" w:name="_Toc375898880"/>
            <w:bookmarkStart w:id="36" w:name="_Toc375898298"/>
            <w:bookmarkStart w:id="37" w:name="_Toc375898882"/>
            <w:bookmarkStart w:id="38" w:name="_Toc376103900"/>
            <w:bookmarkStart w:id="39" w:name="_Toc376103997"/>
            <w:bookmarkStart w:id="40" w:name="_Toc376104155"/>
            <w:bookmarkStart w:id="41" w:name="_Toc3761044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E1A571" w14:textId="54A14FBD" w:rsidR="00E60E64" w:rsidRDefault="00836762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Поставка бензина и ДТ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br/>
            </w:r>
          </w:p>
          <w:p w14:paraId="6EF581FC" w14:textId="77777777" w:rsidR="002F223F" w:rsidRPr="001F78A2" w:rsidRDefault="002F223F" w:rsidP="002F22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2" w:name="OLE_LINK5"/>
            <w:bookmarkStart w:id="43" w:name="OLE_LINK6"/>
            <w:bookmarkStart w:id="44" w:name="OLE_LINK7"/>
            <w:r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ТЕХНИЧЕСКАЯ ЧАСТЬ ДОКУМЕНТАЦИИ ОБ АУКЦИОНЕ В ЭЛЕКТРОННОЙ ФОРМЕ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</w:p>
          <w:bookmarkEnd w:id="42"/>
          <w:bookmarkEnd w:id="43"/>
          <w:bookmarkEnd w:id="44"/>
          <w:p w14:paraId="2F830D34" w14:textId="77777777" w:rsidR="002F223F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4A20C7" w14:textId="783709BB" w:rsidR="002F223F" w:rsidRPr="00201C27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Количество поставляемого товара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«ТЕХНИЧЕСКАЯ ЧАСТЬ ДОКУМЕНТАЦИИ ОБ АУКЦИОНЕ В ЭЛЕКТРОННОЙ ФОРМЕ» документации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735387" w14:textId="77777777" w:rsidR="00B85CDF" w:rsidRDefault="00B21E53" w:rsidP="00B85CDF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45EB3C41" w:rsidR="00B21E53" w:rsidRPr="009A39A4" w:rsidRDefault="002713A0" w:rsidP="00B8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поставки товара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D13719" w14:textId="288A25B2" w:rsidR="00A42622" w:rsidRPr="000D1171" w:rsidRDefault="000D1171" w:rsidP="00000842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МО, г.о. Шатура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58E41D35" w:rsidR="009A39A4" w:rsidRPr="00BB2B1F" w:rsidRDefault="005150FA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 xml:space="preserve">Начальная (максимальная) цена договора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55553E36" w:rsidR="00D6639E" w:rsidRPr="003D1D48" w:rsidRDefault="007D1793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763FC">
              <w:rPr>
                <w:rFonts w:ascii="Times New Roman" w:hAnsi="Times New Roman" w:cs="Times New Roman"/>
                <w:color w:val="00000A"/>
              </w:rPr>
              <w:t>4 313 900 (четыре миллиона триста тринадцать тысяч девятьсот)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12C811EF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552BA387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13ADC44D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5" w:name="last"/>
            <w:bookmarkEnd w:id="45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6" w:name="_Toc375898299"/>
            <w:bookmarkStart w:id="47" w:name="_Toc375898883"/>
            <w:bookmarkStart w:id="48" w:name="_Toc376103901"/>
            <w:bookmarkStart w:id="49" w:name="_Toc376103998"/>
            <w:bookmarkStart w:id="50" w:name="_Toc376104156"/>
            <w:bookmarkStart w:id="51" w:name="_Toc376104430"/>
            <w:bookmarkEnd w:id="46"/>
            <w:bookmarkEnd w:id="47"/>
            <w:bookmarkEnd w:id="48"/>
            <w:bookmarkEnd w:id="49"/>
            <w:bookmarkEnd w:id="50"/>
            <w:bookmarkEnd w:id="5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6C3A771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AFD3FC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4E6B84" w:rsidRPr="004E6B84">
              <w:rPr>
                <w:rFonts w:ascii="Times New Roman" w:eastAsia="Times New Roman" w:hAnsi="Times New Roman"/>
                <w:color w:val="auto"/>
              </w:rPr>
              <w:t>«26» июля 2023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3907DBB8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5197309A" w:rsidR="00B039F7" w:rsidRPr="00BB407D" w:rsidRDefault="004E6B84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4E6B84">
              <w:rPr>
                <w:rFonts w:ascii="Times New Roman" w:eastAsia="Times New Roman" w:hAnsi="Times New Roman"/>
                <w:color w:val="auto"/>
              </w:rPr>
              <w:t>«10» августа 2023</w:t>
            </w:r>
            <w:r w:rsidRPr="004E6B84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2A6D93F5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2C0D6BD5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 w:rsidR="008571F5">
              <w:rPr>
                <w:rFonts w:ascii="Times New Roman" w:hAnsi="Times New Roman" w:cs="Times New Roman"/>
              </w:rPr>
              <w:t>аукционе</w:t>
            </w:r>
            <w:r w:rsidRPr="00BB407D">
              <w:rPr>
                <w:rFonts w:ascii="Times New Roman" w:hAnsi="Times New Roman" w:cs="Times New Roman"/>
              </w:rPr>
              <w:t xml:space="preserve">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2" w:name="_Toc375898300"/>
            <w:bookmarkStart w:id="53" w:name="_Toc375898884"/>
            <w:bookmarkStart w:id="54" w:name="_Toc376103902"/>
            <w:bookmarkStart w:id="55" w:name="_Toc376103999"/>
            <w:bookmarkStart w:id="56" w:name="_Toc376104157"/>
            <w:bookmarkStart w:id="57" w:name="_Toc376104431"/>
            <w:bookmarkStart w:id="58" w:name="_Toc375898301"/>
            <w:bookmarkStart w:id="59" w:name="_Toc375898885"/>
            <w:bookmarkStart w:id="60" w:name="_Toc376103903"/>
            <w:bookmarkStart w:id="61" w:name="_Toc376104000"/>
            <w:bookmarkStart w:id="62" w:name="_Toc376104158"/>
            <w:bookmarkStart w:id="63" w:name="_Toc376104432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7332E91C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1793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7D1793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70BF0832" w:rsidR="007D1793" w:rsidRPr="00BB2B1F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7895AB" w14:textId="77777777" w:rsidR="007D1793" w:rsidRPr="00E432F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  <w:r w:rsidRPr="005C5C8A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A86C21">
              <w:rPr>
                <w:rFonts w:ascii="Times New Roman" w:hAnsi="Times New Roman" w:cs="Times New Roman"/>
                <w:color w:val="auto"/>
              </w:rPr>
              <w:t>«26» июля 2023</w:t>
            </w:r>
            <w:r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E432FA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14:paraId="7612A3E0" w14:textId="77777777" w:rsidR="007D1793" w:rsidRPr="005C5C8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25B1A6" w14:textId="77777777" w:rsidR="007D1793" w:rsidRPr="003643C7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аукционе в электронной форме: </w:t>
            </w:r>
            <w:r w:rsidRPr="005C5C8A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«10» августа 2023 в 00 ч. 00 мин.</w:t>
            </w:r>
          </w:p>
          <w:p w14:paraId="47D584D1" w14:textId="77777777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688A21EC" w14:textId="77777777" w:rsidR="007D1793" w:rsidRPr="007D1793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АУКЦИОНЕ В ЭЛЕКТРОННОЙ ФОРМЕ» документации об аукционе в электронной форме.</w:t>
            </w:r>
          </w:p>
          <w:p w14:paraId="447B51F9" w14:textId="6B19621B" w:rsidR="007D1793" w:rsidRPr="00E41CFB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7D1793" w:rsidRPr="006D6B9B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AE650A6" w:rsidR="007D1793" w:rsidRPr="004F60CE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осуществлении конкурса в электронной форме.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и формы предоставления участникам закупки разъяснений положений извещения</w:t>
            </w:r>
            <w:r w:rsidRPr="00A436F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436FE">
              <w:rPr>
                <w:rFonts w:ascii="Times New Roman" w:hAnsi="Times New Roman" w:cs="Times New Roman"/>
                <w:color w:val="FF0000"/>
              </w:rPr>
              <w:br/>
            </w:r>
            <w:r w:rsidRPr="007D1793">
              <w:rPr>
                <w:rFonts w:ascii="Times New Roman" w:hAnsi="Times New Roman" w:cs="Times New Roman"/>
                <w:color w:val="auto"/>
              </w:rPr>
              <w:lastRenderedPageBreak/>
              <w:t>об осуществлении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D65D10" w14:textId="77777777" w:rsidR="007D1793" w:rsidRPr="0006003F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lastRenderedPageBreak/>
              <w:t>Дата начала срока предоставления разъяснений положений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</w:p>
          <w:p w14:paraId="5CBCD6D3" w14:textId="77777777" w:rsidR="007D1793" w:rsidRPr="00FF000C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«26» июля 2023</w:t>
            </w:r>
            <w:r w:rsidRPr="00FF00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538A3657" w14:textId="77777777" w:rsidR="007D1793" w:rsidRPr="0006003F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86BA24E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  <w:r w:rsidRPr="0006003F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«04» августа 2023 в 16 ч. 00 мин.</w:t>
            </w:r>
            <w:r w:rsidRPr="0006003F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06003F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3FF59A93" w14:textId="70CFD3A2" w:rsidR="007D1793" w:rsidRPr="005D4978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аукциона в электронной форме </w:t>
            </w:r>
            <w:r w:rsidRPr="007D1793">
              <w:rPr>
                <w:rFonts w:ascii="Times New Roman" w:hAnsi="Times New Roman" w:cs="Times New Roman"/>
                <w:color w:val="auto"/>
              </w:rPr>
              <w:lastRenderedPageBreak/>
              <w:t xml:space="preserve">определены в разделе 9 части I «ОБЩИЕ ПОЛОЖЕНИЯ»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7D1793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4" w:name="_Toc375898302"/>
            <w:bookmarkStart w:id="65" w:name="_Toc375898886"/>
            <w:bookmarkStart w:id="66" w:name="_Toc376103904"/>
            <w:bookmarkStart w:id="67" w:name="_Toc376104001"/>
            <w:bookmarkStart w:id="68" w:name="_Toc376104159"/>
            <w:bookmarkStart w:id="69" w:name="_Toc376104433"/>
            <w:bookmarkEnd w:id="64"/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15BBEB78" w:rsidR="007D1793" w:rsidRPr="009D7C09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EB5F85" w14:textId="77777777" w:rsidR="007D1793" w:rsidRPr="005C5C8A" w:rsidRDefault="007D1793" w:rsidP="007D1793">
            <w:pPr>
              <w:contextualSpacing/>
              <w:jc w:val="both"/>
              <w:rPr>
                <w:color w:val="auto"/>
              </w:rPr>
            </w:pPr>
            <w:r w:rsidRPr="005C5C8A">
              <w:rPr>
                <w:rFonts w:ascii="Times New Roman" w:eastAsia="Times New Roman" w:hAnsi="Times New Roman" w:cs="Times New Roman"/>
                <w:color w:val="auto"/>
              </w:rPr>
              <w:t>Дата начала срока рассмотрения первых частей заявок на участие в аукционе в электронной форме:</w:t>
            </w:r>
          </w:p>
          <w:p w14:paraId="08BC5A85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«10» августа 2023</w:t>
            </w:r>
            <w:r w:rsidRPr="00A02C5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CE954B1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5E62E2DD" w14:textId="77777777" w:rsidR="007D1793" w:rsidRPr="00A02C56" w:rsidRDefault="007D1793" w:rsidP="007D1793">
            <w:pPr>
              <w:contextualSpacing/>
              <w:jc w:val="both"/>
              <w:rPr>
                <w:color w:val="auto"/>
              </w:rPr>
            </w:pPr>
            <w:r w:rsidRPr="00A02C56">
              <w:rPr>
                <w:rFonts w:ascii="Times New Roman" w:eastAsia="Times New Roman" w:hAnsi="Times New Roman" w:cs="Times New Roman"/>
                <w:color w:val="auto"/>
              </w:rPr>
              <w:t>Дата окончания срока рассмотрения первых частей заявок на участие в аукционе в электронной форме:</w:t>
            </w:r>
          </w:p>
          <w:p w14:paraId="12A62CF4" w14:textId="5B98C062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«10» августа 2023</w:t>
            </w:r>
          </w:p>
          <w:p w14:paraId="4F747305" w14:textId="77777777" w:rsidR="007D1793" w:rsidRP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D1793">
              <w:rPr>
                <w:rFonts w:ascii="Times New Roman" w:eastAsia="Times New Roman" w:hAnsi="Times New Roman" w:cs="Times New Roman"/>
                <w:color w:val="auto"/>
              </w:rPr>
              <w:t xml:space="preserve">Порядок рассмотрения первых частей заявок на участие в аукционе в электронной форме определен в разделе 15 части V «РАССМОТРЕНИЕ ЗАЯВОК НА УЧАСТИЕ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0E194B04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08BCAAA6" w:rsidR="007D1793" w:rsidRPr="002510B7" w:rsidRDefault="007D1793" w:rsidP="007D1793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B165E4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проведения аукциона в электронной форме</w:t>
            </w:r>
          </w:p>
          <w:p w14:paraId="17086EEF" w14:textId="6B76C6B1" w:rsidR="007D1793" w:rsidRPr="0073468B" w:rsidRDefault="007D1793" w:rsidP="007D1793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7CF0AB" w14:textId="77777777" w:rsidR="007D1793" w:rsidRPr="003643C7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5C5C8A">
              <w:rPr>
                <w:rFonts w:ascii="Times New Roman" w:hAnsi="Times New Roman" w:cs="Times New Roman"/>
                <w:color w:val="auto"/>
              </w:rPr>
              <w:t>ата проведения аукциона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4B29BD71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CD27F2">
              <w:rPr>
                <w:rFonts w:ascii="Times New Roman" w:hAnsi="Times New Roman" w:cs="Times New Roman"/>
                <w:color w:val="auto"/>
              </w:rPr>
              <w:t>«11» августа 2023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1B55726B" w14:textId="77777777" w:rsidR="007D1793" w:rsidRPr="005C5C8A" w:rsidRDefault="007D1793" w:rsidP="007D1793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024FA6E4" w14:textId="77777777" w:rsidR="007D1793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BF05C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Время проведения аукциона в электронной форме определяется электронной площадкой в соответствии с регламентом функционирования электронной площадки.</w:t>
            </w:r>
          </w:p>
          <w:p w14:paraId="4F73F772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проведения аукциона в электронной форме определен в разделе 16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9948218" w14:textId="463BE1BB" w:rsidR="007D1793" w:rsidRPr="0090591A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70" w:name="_Toc375898303"/>
            <w:bookmarkStart w:id="71" w:name="_Toc375898887"/>
            <w:bookmarkStart w:id="72" w:name="_Toc375898304"/>
            <w:bookmarkStart w:id="73" w:name="_Toc375898888"/>
            <w:bookmarkStart w:id="74" w:name="_Toc376103905"/>
            <w:bookmarkStart w:id="75" w:name="_Toc376104002"/>
            <w:bookmarkStart w:id="76" w:name="_Toc376104160"/>
            <w:bookmarkStart w:id="77" w:name="_Toc376104434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175C31" w14:textId="75289832" w:rsidR="007D1793" w:rsidRPr="00D92241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974ED4">
              <w:rPr>
                <w:rFonts w:ascii="Times New Roman" w:hAnsi="Times New Roman" w:cs="Times New Roman"/>
                <w:color w:val="auto"/>
              </w:rPr>
              <w:t>Срок направления оператором электронной площадки Заказчику вторых частей заявок на участие в аукционе в электронной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ED4">
              <w:rPr>
                <w:rFonts w:ascii="Times New Roman" w:hAnsi="Times New Roman" w:cs="Times New Roman"/>
                <w:color w:val="auto"/>
              </w:rPr>
              <w:t>форме и протокола сопоставления ценовых предложений</w:t>
            </w:r>
            <w:r w:rsidRPr="00D92241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27C312" w14:textId="3D4711D1" w:rsidR="007D1793" w:rsidRPr="002F411B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7283">
              <w:rPr>
                <w:rFonts w:ascii="Times New Roman" w:hAnsi="Times New Roman" w:cs="Times New Roman"/>
              </w:rPr>
              <w:t xml:space="preserve">В соответствии с пунктом 16.16 раздела 16 части </w:t>
            </w:r>
            <w:r w:rsidRPr="004A7283">
              <w:rPr>
                <w:rFonts w:ascii="Times New Roman" w:hAnsi="Times New Roman" w:cs="Times New Roman"/>
                <w:lang w:val="en-US"/>
              </w:rPr>
              <w:t>V</w:t>
            </w:r>
            <w:r w:rsidRPr="004A7283">
              <w:rPr>
                <w:rFonts w:ascii="Times New Roman" w:hAnsi="Times New Roman" w:cs="Times New Roman"/>
              </w:rPr>
              <w:t xml:space="preserve"> «РАССМОТРЕНИЕ ЗАЯВОК НА УЧАСТИЕ В АУКЦИОНЕ В ЭЛЕКТРОННОЙ ФОРМЕ, ПРОВЕДЕНИЕ АУЦИОНА В ЭЛЕКТРОННОЙ ФОРМЕ» документации, а именно: 1 час с момента размещения оператором электронной площадки протокола со</w:t>
            </w:r>
            <w:r>
              <w:rPr>
                <w:rFonts w:ascii="Times New Roman" w:hAnsi="Times New Roman" w:cs="Times New Roman"/>
              </w:rPr>
              <w:t>п</w:t>
            </w:r>
            <w:r w:rsidR="008908FC">
              <w:rPr>
                <w:rFonts w:ascii="Times New Roman" w:hAnsi="Times New Roman" w:cs="Times New Roman"/>
              </w:rPr>
              <w:t>оставления ценовых предложений</w:t>
            </w:r>
          </w:p>
          <w:p w14:paraId="4B738C10" w14:textId="77777777" w:rsidR="007D1793" w:rsidRDefault="007D1793" w:rsidP="007D1793">
            <w:pPr>
              <w:rPr>
                <w:rFonts w:ascii="Times New Roman" w:eastAsia="Times New Roman" w:hAnsi="Times New Roman"/>
                <w:color w:val="auto"/>
              </w:rPr>
            </w:pPr>
          </w:p>
          <w:p w14:paraId="3938A0F0" w14:textId="463FCE32" w:rsidR="007D1793" w:rsidRPr="00794FD3" w:rsidRDefault="007D1793" w:rsidP="007D1793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</w:tr>
      <w:tr w:rsidR="007D1793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9C91B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вторых частей заявок на участие в аукционе в электронной форме,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рассмотрения вторых частей заявок на участие в аукционе в электронной форме</w:t>
            </w:r>
          </w:p>
          <w:p w14:paraId="5EBA38B9" w14:textId="60453889" w:rsidR="007D1793" w:rsidRPr="008D0928" w:rsidRDefault="007D1793" w:rsidP="007D1793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7CBC7B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начала срока рассмотрения вторых частей заявок на участие в аукционе в электронной форме:</w:t>
            </w:r>
          </w:p>
          <w:p w14:paraId="0757B173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«11» августа 2023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4A3F3882" w14:textId="77777777" w:rsid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7667A1C0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окончания срока рассмотрения вторых частей заявок на участие в аукционе в электронной форме:</w:t>
            </w:r>
          </w:p>
          <w:p w14:paraId="00B52A61" w14:textId="684268F9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«14» августа 2023</w:t>
            </w:r>
          </w:p>
          <w:p w14:paraId="0546A3AC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рассмотрения вторых частей заявок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на участие в аукционе в электронной форме определен в разделе 17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</w:r>
            <w:r w:rsidRPr="007D1793">
              <w:rPr>
                <w:rFonts w:ascii="Times New Roman" w:hAnsi="Times New Roman" w:cs="Times New Roman"/>
                <w:color w:val="auto"/>
              </w:rPr>
              <w:lastRenderedPageBreak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56C2028E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291F01D3" w14:textId="69F8590A" w:rsidR="007D1793" w:rsidRPr="0090591A" w:rsidRDefault="007D1793" w:rsidP="007D1793">
            <w:pPr>
              <w:jc w:val="both"/>
              <w:rPr>
                <w:rFonts w:ascii="Times New Roman" w:hAnsi="Times New Roman"/>
                <w:color w:val="00000A"/>
              </w:rPr>
            </w:pPr>
          </w:p>
        </w:tc>
      </w:tr>
      <w:tr w:rsidR="007D1793" w14:paraId="5A119652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6D0BC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6950D8" w14:textId="44F0D922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подведения итогов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9A3C4D" w14:textId="77777777" w:rsidR="007D1793" w:rsidRPr="00132001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Дата подведения итогов аукциона в электронной форме:</w:t>
            </w:r>
          </w:p>
          <w:p w14:paraId="76084C0F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«14» августа 2023</w:t>
            </w:r>
          </w:p>
          <w:p w14:paraId="764F44DC" w14:textId="656CDCD3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подведения итогов аукциона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пунктами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17.8 – 17.12 раздела 17 части V</w:t>
            </w:r>
            <w:r w:rsidR="00A0317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t xml:space="preserve">«РАССМОТРЕНИЕ ЗАЯВОК НА УЧАСТИЕ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8B54D" w14:textId="77777777" w:rsidR="00713CC0" w:rsidRDefault="00713CC0">
      <w:r>
        <w:separator/>
      </w:r>
    </w:p>
  </w:endnote>
  <w:endnote w:type="continuationSeparator" w:id="0">
    <w:p w14:paraId="03FCC262" w14:textId="77777777" w:rsidR="00713CC0" w:rsidRDefault="0071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99A0D" w14:textId="77777777" w:rsidR="00713CC0" w:rsidRDefault="00713CC0">
      <w:r>
        <w:separator/>
      </w:r>
    </w:p>
  </w:footnote>
  <w:footnote w:type="continuationSeparator" w:id="0">
    <w:p w14:paraId="488E429A" w14:textId="77777777" w:rsidR="00713CC0" w:rsidRDefault="00713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6BFB766E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30D0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4D0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D0EB3"/>
    <w:rsid w:val="000D1171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1F75"/>
    <w:rsid w:val="0025359D"/>
    <w:rsid w:val="00253A5F"/>
    <w:rsid w:val="00254760"/>
    <w:rsid w:val="00254A02"/>
    <w:rsid w:val="002561F4"/>
    <w:rsid w:val="0025677E"/>
    <w:rsid w:val="002579A1"/>
    <w:rsid w:val="002600A8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23F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6B84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50FA"/>
    <w:rsid w:val="00516A3F"/>
    <w:rsid w:val="00516E31"/>
    <w:rsid w:val="00517B6D"/>
    <w:rsid w:val="005205BD"/>
    <w:rsid w:val="00520891"/>
    <w:rsid w:val="00520C0B"/>
    <w:rsid w:val="00524EED"/>
    <w:rsid w:val="005251F2"/>
    <w:rsid w:val="005255E7"/>
    <w:rsid w:val="005265D3"/>
    <w:rsid w:val="00526A6C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33EC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2C9F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3CC0"/>
    <w:rsid w:val="00715248"/>
    <w:rsid w:val="00717D82"/>
    <w:rsid w:val="0072028B"/>
    <w:rsid w:val="00720859"/>
    <w:rsid w:val="0072163E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179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34440"/>
    <w:rsid w:val="00836762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1F5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908FC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6A8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684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17B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CDF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94B70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284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9E3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4E7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30D0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1EE75-16E0-4747-A80E-BA9EB2D5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6635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Мария</cp:lastModifiedBy>
  <cp:revision>2</cp:revision>
  <cp:lastPrinted>2020-02-28T12:36:00Z</cp:lastPrinted>
  <dcterms:created xsi:type="dcterms:W3CDTF">2023-07-24T14:06:00Z</dcterms:created>
  <dcterms:modified xsi:type="dcterms:W3CDTF">2023-07-24T14:06:00Z</dcterms:modified>
</cp:coreProperties>
</file>