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050533-22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расходных материалов для выполнения малоинвазивных вмешательств</w:t>
      </w:r>
    </w:p>
    <w:p w:rsidR="007C3BF1" w:rsidRDefault="008C2287">
      <w:pPr>
        <w:ind w:left="1418"/>
      </w:pPr>
      <w:r>
        <w:t xml:space="preserve">Цена </w:t>
      </w:r>
      <w:r>
        <w:t>договора</w:t>
      </w:r>
      <w:r>
        <w:t xml:space="preserve">, руб.: </w:t>
      </w:r>
      <w:r>
        <w:t>929 670,35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01.21.01.02.56.1017</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Зажим для захватывания органов и тканей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7,00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01.21.01.02.56.1017</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Зажим для захватывания органов и тканей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3,00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01.21.01.02.56.925</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Игла пункционная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01.21.01.02.56.982</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01.21.01.02.56.982</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Мочеточниковая оболочка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01.21.01.16.04.29</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Мочеточниковый катетер общего назначения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01.21.01.19.15.85</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нефроскопических хирургических процедур, не содержащий лекарственные средства,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01.21.01.19.15.85</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нефроскопических хирургических процедур, не содержащий лекарственные средства, одноразового использования</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01.21.01.16.14.335</w:t>
            </w:r>
            <w:r w:rsidR="008C2287">
              <w:rPr>
                <w:b/>
              </w:rPr>
              <w:t xml:space="preserve"> / </w:t>
            </w:r>
            <w:r w:rsidR="008C2287">
              <w:t>32.50.50.190</w:t>
            </w:r>
          </w:p>
          <w:p w:rsidR="007C3BF1" w:rsidRDefault="00DC617C">
            <w:pPr>
              <w:pStyle w:val="aff1"/>
              <w:rPr>
                <w:lang w:val="en-US"/>
              </w:rPr>
            </w:pPr>
          </w:p>
        </w:tc>
        <w:tc>
          <w:tcPr>
            <w:tcW w:w="3003" w:type="dxa"/>
            <w:shd w:val="clear" w:color="auto" w:fill="auto"/>
          </w:tcPr>
          <w:p w:rsidR="007C3BF1" w:rsidRDefault="00DC617C">
            <w:pPr>
              <w:pStyle w:val="aff1"/>
            </w:pPr>
            <w:r w:rsidR="008C2287">
              <w:t>Проводник мультиканальный для эндоскопии</w:t>
            </w:r>
          </w:p>
        </w:tc>
        <w:tc>
          <w:tcPr>
            <w:tcW w:w="2430" w:type="dxa"/>
          </w:tcPr>
          <w:p w:rsidR="007C3BF1" w:rsidRDefault="008C2287">
            <w:pPr>
              <w:pStyle w:val="aff1"/>
            </w:pPr>
            <w:r>
              <w:t>(не указано)*</w:t>
            </w:r>
          </w:p>
        </w:tc>
        <w:tc>
          <w:tcPr>
            <w:tcW w:w="1654" w:type="dxa"/>
          </w:tcPr>
          <w:p w:rsidR="007C3BF1" w:rsidRDefault="00DC617C">
            <w:pPr>
              <w:pStyle w:val="aff1"/>
            </w:pPr>
            <w:r w:rsidR="008C2287">
              <w:t>18,00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01.21.01.06.14.357</w:t>
            </w:r>
            <w:r w:rsidR="008C2287">
              <w:rPr>
                <w:b/>
              </w:rPr>
              <w:t xml:space="preserve"> / </w:t>
            </w:r>
            <w:r w:rsidR="008C2287">
              <w:t>32.50.13.110</w:t>
            </w:r>
          </w:p>
          <w:p w:rsidR="007C3BF1" w:rsidRDefault="00DC617C">
            <w:pPr>
              <w:pStyle w:val="aff1"/>
              <w:rPr>
                <w:lang w:val="en-US"/>
              </w:rPr>
            </w:pPr>
          </w:p>
        </w:tc>
        <w:tc>
          <w:tcPr>
            <w:tcW w:w="3003" w:type="dxa"/>
            <w:shd w:val="clear" w:color="auto" w:fill="auto"/>
          </w:tcPr>
          <w:p w:rsidR="007C3BF1" w:rsidRDefault="00DC617C">
            <w:pPr>
              <w:pStyle w:val="aff1"/>
            </w:pPr>
            <w:r w:rsidR="008C2287">
              <w:t>Система хирургическая для аспирации/ирригации</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01.71.03.03.01.01.02.225</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Стент мочеточниковый полимерный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01.71.03.03.02.01.02.119</w:t>
            </w:r>
            <w:r w:rsidR="008C2287">
              <w:rPr>
                <w:b/>
              </w:rPr>
              <w:t xml:space="preserve"> / </w:t>
            </w:r>
            <w:r w:rsidR="008C2287">
              <w:t>32.50.13.190</w:t>
            </w:r>
          </w:p>
          <w:p w:rsidR="007C3BF1" w:rsidRDefault="00DC617C">
            <w:pPr>
              <w:pStyle w:val="aff1"/>
              <w:rPr>
                <w:lang w:val="en-US"/>
              </w:rPr>
            </w:pPr>
          </w:p>
        </w:tc>
        <w:tc>
          <w:tcPr>
            <w:tcW w:w="3003" w:type="dxa"/>
            <w:shd w:val="clear" w:color="auto" w:fill="auto"/>
          </w:tcPr>
          <w:p w:rsidR="007C3BF1" w:rsidRDefault="00DC617C">
            <w:pPr>
              <w:pStyle w:val="aff1"/>
            </w:pPr>
            <w:r w:rsidR="008C2287">
              <w:t>Фиксатор чрескожного катетера/трубки, стерильный</w:t>
            </w:r>
          </w:p>
        </w:tc>
        <w:tc>
          <w:tcPr>
            <w:tcW w:w="2430" w:type="dxa"/>
          </w:tcPr>
          <w:p w:rsidR="007C3BF1" w:rsidRDefault="008C2287">
            <w:pPr>
              <w:pStyle w:val="aff1"/>
            </w:pPr>
            <w:r>
              <w:t>(не указано)*</w:t>
            </w:r>
          </w:p>
        </w:tc>
        <w:tc>
          <w:tcPr>
            <w:tcW w:w="1654" w:type="dxa"/>
          </w:tcPr>
          <w:p w:rsidR="007C3BF1" w:rsidRDefault="00DC617C">
            <w:pPr>
              <w:pStyle w:val="aff1"/>
            </w:pPr>
            <w:r w:rsidR="008C2287">
              <w:t>1,00</w:t>
            </w:r>
          </w:p>
        </w:tc>
        <w:tc>
          <w:tcPr>
            <w:tcW w:w="1595" w:type="dxa"/>
            <w:shd w:val="clear" w:color="auto" w:fill="auto"/>
          </w:tcPr>
          <w:p w:rsidR="007C3BF1" w:rsidRDefault="00DC617C">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Зажим для захватывания органов и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Зажим для захватывания органов и тканей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Игла пункционная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Мочеточниковая оболочка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Мочеточниковая оболочка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Мочеточниковый катетер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нефроскопических хирургических процедур, не содержащий лекарственные средства,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нефроскопических хирургических процедур, не содержащий лекарственные средства, одноразового использования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Проводник мультиканальный для эндоскопии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Система хирургическая для аспирации/ирригации</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Стент мочеточниковый полимерный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Фиксатор чрескожного катетера/трубки, стерильный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DC617C">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C617C">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C617C">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 обязательству: поставка расходных материалов для выполнения малоинвазивных вмешательств</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за вычетом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расходных материалов для выполнения малоинвазивных вмешательств)</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 обязательству: поставка расходных материалов для выполнения малоинвазивных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расходных материалов для выполнения малоинвазивных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расходных материалов для выполнения малоинвазивных вмешательств</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