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241C" w:rsidRDefault="0040502A" w:rsidP="00653AD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3587114</wp:posOffset>
                </wp:positionH>
                <wp:positionV relativeFrom="paragraph">
                  <wp:posOffset>-567690</wp:posOffset>
                </wp:positionV>
                <wp:extent cx="2543175" cy="485775"/>
                <wp:effectExtent l="0" t="0" r="28575" b="285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3175" cy="4857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0502A" w:rsidRDefault="008963E1" w:rsidP="0040502A">
                            <w:pPr>
                              <w:jc w:val="center"/>
                            </w:pPr>
                            <w:r>
                              <w:t>Приложение</w:t>
                            </w:r>
                            <w:r w:rsidR="0040502A">
                              <w:t xml:space="preserve"> к документации закупки, Приложение к договору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left:0;text-align:left;margin-left:282.45pt;margin-top:-44.7pt;width:200.25pt;height:3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" fillcolor="white [3201]" strokecolor="white [3212]" strokeweight="1pt">
                <v:textbox>
                  <w:txbxContent>
                    <w:p w:rsidR="0040502A" w:rsidRDefault="008963E1" w:rsidP="0040502A">
                      <w:pPr>
                        <w:jc w:val="center"/>
                      </w:pPr>
                      <w:r>
                        <w:t>Приложение</w:t>
                      </w:r>
                      <w:r w:rsidR="0040502A">
                        <w:t xml:space="preserve"> к документации закупки, Приложение к договору</w:t>
                      </w:r>
                    </w:p>
                  </w:txbxContent>
                </v:textbox>
              </v:rect>
            </w:pict>
          </mc:Fallback>
        </mc:AlternateContent>
      </w:r>
      <w:r w:rsidR="00653AD2">
        <w:rPr>
          <w:rFonts w:ascii="Times New Roman" w:hAnsi="Times New Roman" w:cs="Times New Roman"/>
          <w:b/>
          <w:sz w:val="28"/>
          <w:szCs w:val="28"/>
        </w:rPr>
        <w:t>ТЕХНИЧЕСКОЕ ЗАДАНИЕ</w:t>
      </w:r>
    </w:p>
    <w:p w:rsidR="00653AD2" w:rsidRDefault="00653AD2" w:rsidP="00653AD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выполнение инженерно-геодезических изысканий</w:t>
      </w:r>
    </w:p>
    <w:tbl>
      <w:tblPr>
        <w:tblW w:w="0" w:type="auto"/>
        <w:tblInd w:w="-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35"/>
        <w:gridCol w:w="6716"/>
      </w:tblGrid>
      <w:tr w:rsidR="00B74442" w:rsidTr="0071237D">
        <w:trPr>
          <w:trHeight w:val="810"/>
        </w:trPr>
        <w:tc>
          <w:tcPr>
            <w:tcW w:w="3135" w:type="dxa"/>
          </w:tcPr>
          <w:p w:rsidR="00B74442" w:rsidRPr="00780B8C" w:rsidRDefault="00780B8C" w:rsidP="00E102B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Заказчик</w:t>
            </w:r>
          </w:p>
        </w:tc>
        <w:tc>
          <w:tcPr>
            <w:tcW w:w="6716" w:type="dxa"/>
          </w:tcPr>
          <w:p w:rsidR="00B74442" w:rsidRPr="00C03D9F" w:rsidRDefault="00780B8C" w:rsidP="00E10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D9F">
              <w:rPr>
                <w:rFonts w:ascii="Times New Roman" w:hAnsi="Times New Roman" w:cs="Times New Roman"/>
                <w:sz w:val="24"/>
                <w:szCs w:val="24"/>
              </w:rPr>
              <w:t>Муниципальное унитарное предприятие «Водоканал» городского округа Кашира Московской области (далее МУП «Водоканал»)</w:t>
            </w:r>
          </w:p>
        </w:tc>
      </w:tr>
      <w:tr w:rsidR="00B74442" w:rsidTr="0071237D">
        <w:trPr>
          <w:trHeight w:val="330"/>
        </w:trPr>
        <w:tc>
          <w:tcPr>
            <w:tcW w:w="3135" w:type="dxa"/>
          </w:tcPr>
          <w:p w:rsidR="00B74442" w:rsidRPr="00E102BA" w:rsidRDefault="00E102BA" w:rsidP="00E102B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Назначение изысканий</w:t>
            </w:r>
          </w:p>
        </w:tc>
        <w:tc>
          <w:tcPr>
            <w:tcW w:w="6716" w:type="dxa"/>
          </w:tcPr>
          <w:p w:rsidR="00B74442" w:rsidRPr="00C03D9F" w:rsidRDefault="008C3772" w:rsidP="008C37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D9F">
              <w:rPr>
                <w:rFonts w:ascii="Times New Roman" w:hAnsi="Times New Roman" w:cs="Times New Roman"/>
                <w:sz w:val="24"/>
                <w:szCs w:val="24"/>
              </w:rPr>
              <w:t xml:space="preserve">с целью установить максимально точные данные об исследуемой территории и разработать </w:t>
            </w:r>
            <w:proofErr w:type="spellStart"/>
            <w:r w:rsidRPr="00C03D9F">
              <w:rPr>
                <w:rFonts w:ascii="Times New Roman" w:hAnsi="Times New Roman" w:cs="Times New Roman"/>
                <w:sz w:val="24"/>
                <w:szCs w:val="24"/>
              </w:rPr>
              <w:t>геоподоснову</w:t>
            </w:r>
            <w:proofErr w:type="spellEnd"/>
            <w:r w:rsidRPr="00C03D9F">
              <w:rPr>
                <w:rFonts w:ascii="Times New Roman" w:hAnsi="Times New Roman" w:cs="Times New Roman"/>
                <w:sz w:val="24"/>
                <w:szCs w:val="24"/>
              </w:rPr>
              <w:t>, которая будет являться базой для дальнейших инженерных изысканий и разработки проектной документации для различного вида работ.</w:t>
            </w:r>
          </w:p>
        </w:tc>
      </w:tr>
      <w:tr w:rsidR="00B74442" w:rsidTr="0071237D">
        <w:trPr>
          <w:trHeight w:val="510"/>
        </w:trPr>
        <w:tc>
          <w:tcPr>
            <w:tcW w:w="3135" w:type="dxa"/>
          </w:tcPr>
          <w:p w:rsidR="00B74442" w:rsidRPr="00D974DE" w:rsidRDefault="00D974DE" w:rsidP="00D974D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объекта работ</w:t>
            </w:r>
          </w:p>
        </w:tc>
        <w:tc>
          <w:tcPr>
            <w:tcW w:w="6716" w:type="dxa"/>
          </w:tcPr>
          <w:p w:rsidR="00B74442" w:rsidRPr="00C03D9F" w:rsidRDefault="00651BF0" w:rsidP="00B12C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D9F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округ Кашира Московской области, общая площадь </w:t>
            </w:r>
            <w:proofErr w:type="spellStart"/>
            <w:r w:rsidRPr="00C03D9F">
              <w:rPr>
                <w:rFonts w:ascii="Times New Roman" w:hAnsi="Times New Roman" w:cs="Times New Roman"/>
                <w:sz w:val="24"/>
                <w:szCs w:val="24"/>
              </w:rPr>
              <w:t>геоизысканий</w:t>
            </w:r>
            <w:proofErr w:type="spellEnd"/>
            <w:r w:rsidRPr="00C03D9F">
              <w:rPr>
                <w:rFonts w:ascii="Times New Roman" w:hAnsi="Times New Roman" w:cs="Times New Roman"/>
                <w:sz w:val="24"/>
                <w:szCs w:val="24"/>
              </w:rPr>
              <w:t xml:space="preserve"> для формирования топографическо</w:t>
            </w:r>
            <w:r w:rsidR="00D20C30" w:rsidRPr="00C03D9F">
              <w:rPr>
                <w:rFonts w:ascii="Times New Roman" w:hAnsi="Times New Roman" w:cs="Times New Roman"/>
                <w:sz w:val="24"/>
                <w:szCs w:val="24"/>
              </w:rPr>
              <w:t xml:space="preserve">й </w:t>
            </w:r>
            <w:proofErr w:type="gramStart"/>
            <w:r w:rsidR="00D20C30" w:rsidRPr="00C03D9F">
              <w:rPr>
                <w:rFonts w:ascii="Times New Roman" w:hAnsi="Times New Roman" w:cs="Times New Roman"/>
                <w:sz w:val="24"/>
                <w:szCs w:val="24"/>
              </w:rPr>
              <w:t>съемки</w:t>
            </w:r>
            <w:r w:rsidRPr="00C03D9F">
              <w:rPr>
                <w:rFonts w:ascii="Times New Roman" w:hAnsi="Times New Roman" w:cs="Times New Roman"/>
                <w:sz w:val="24"/>
                <w:szCs w:val="24"/>
              </w:rPr>
              <w:t xml:space="preserve">  масштаба</w:t>
            </w:r>
            <w:proofErr w:type="gramEnd"/>
            <w:r w:rsidRPr="00C03D9F">
              <w:rPr>
                <w:rFonts w:ascii="Times New Roman" w:hAnsi="Times New Roman" w:cs="Times New Roman"/>
                <w:sz w:val="24"/>
                <w:szCs w:val="24"/>
              </w:rPr>
              <w:t xml:space="preserve">  1:500 – </w:t>
            </w:r>
            <w:r w:rsidR="00075F89" w:rsidRPr="00C03D9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081090" w:rsidRPr="00C03D9F">
              <w:rPr>
                <w:rFonts w:ascii="Times New Roman" w:hAnsi="Times New Roman" w:cs="Times New Roman"/>
                <w:sz w:val="24"/>
                <w:szCs w:val="24"/>
              </w:rPr>
              <w:t xml:space="preserve"> Га,</w:t>
            </w:r>
            <w:r w:rsidR="00A90584" w:rsidRPr="00C03D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0B67">
              <w:rPr>
                <w:rFonts w:ascii="Times New Roman" w:hAnsi="Times New Roman" w:cs="Times New Roman"/>
                <w:sz w:val="24"/>
                <w:szCs w:val="24"/>
              </w:rPr>
              <w:t>включая</w:t>
            </w:r>
            <w:r w:rsidR="00A90584" w:rsidRPr="00C03D9F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</w:t>
            </w:r>
            <w:r w:rsidR="000B0B6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081090" w:rsidRPr="00C03D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0584" w:rsidRPr="00C03D9F">
              <w:rPr>
                <w:rFonts w:ascii="Times New Roman" w:hAnsi="Times New Roman" w:cs="Times New Roman"/>
                <w:sz w:val="24"/>
                <w:szCs w:val="24"/>
              </w:rPr>
              <w:t>технических планов</w:t>
            </w:r>
            <w:r w:rsidR="00081090" w:rsidRPr="00C03D9F">
              <w:rPr>
                <w:rFonts w:ascii="Times New Roman" w:hAnsi="Times New Roman" w:cs="Times New Roman"/>
                <w:sz w:val="24"/>
                <w:szCs w:val="24"/>
              </w:rPr>
              <w:t xml:space="preserve"> и схем границ земельных участков</w:t>
            </w:r>
            <w:r w:rsidR="00D20C30" w:rsidRPr="00C03D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2C5A">
              <w:rPr>
                <w:rFonts w:ascii="Times New Roman" w:hAnsi="Times New Roman" w:cs="Times New Roman"/>
                <w:sz w:val="24"/>
                <w:szCs w:val="24"/>
              </w:rPr>
              <w:t>(по заявке Заказчика)</w:t>
            </w:r>
          </w:p>
        </w:tc>
      </w:tr>
      <w:tr w:rsidR="00B74442" w:rsidTr="0071237D">
        <w:trPr>
          <w:trHeight w:val="1691"/>
        </w:trPr>
        <w:tc>
          <w:tcPr>
            <w:tcW w:w="3135" w:type="dxa"/>
          </w:tcPr>
          <w:p w:rsidR="00B74442" w:rsidRPr="00275E96" w:rsidRDefault="00275E96" w:rsidP="00275E9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Инженерно-геодезические изыскания, подлежащие выполнению</w:t>
            </w:r>
          </w:p>
        </w:tc>
        <w:tc>
          <w:tcPr>
            <w:tcW w:w="6716" w:type="dxa"/>
          </w:tcPr>
          <w:p w:rsidR="00B74442" w:rsidRPr="00C03D9F" w:rsidRDefault="00737F48" w:rsidP="00737F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D9F">
              <w:rPr>
                <w:rFonts w:ascii="Times New Roman" w:hAnsi="Times New Roman" w:cs="Times New Roman"/>
                <w:sz w:val="24"/>
                <w:szCs w:val="24"/>
              </w:rPr>
              <w:t>Выполнить инженерно-геодезические изыскания в объеме, необходимом для обоснования и принятия решений по разработке проектной документации. Вы</w:t>
            </w:r>
            <w:r w:rsidR="009A4983" w:rsidRPr="00C03D9F">
              <w:rPr>
                <w:rFonts w:ascii="Times New Roman" w:hAnsi="Times New Roman" w:cs="Times New Roman"/>
                <w:sz w:val="24"/>
                <w:szCs w:val="24"/>
              </w:rPr>
              <w:t>полнение топографической съемки в</w:t>
            </w:r>
            <w:r w:rsidRPr="00C03D9F">
              <w:rPr>
                <w:rFonts w:ascii="Times New Roman" w:hAnsi="Times New Roman" w:cs="Times New Roman"/>
                <w:sz w:val="24"/>
                <w:szCs w:val="24"/>
              </w:rPr>
              <w:t xml:space="preserve"> масшт</w:t>
            </w:r>
            <w:r w:rsidR="009A4983" w:rsidRPr="00C03D9F">
              <w:rPr>
                <w:rFonts w:ascii="Times New Roman" w:hAnsi="Times New Roman" w:cs="Times New Roman"/>
                <w:sz w:val="24"/>
                <w:szCs w:val="24"/>
              </w:rPr>
              <w:t>абе</w:t>
            </w:r>
            <w:r w:rsidRPr="00C03D9F">
              <w:rPr>
                <w:rFonts w:ascii="Times New Roman" w:hAnsi="Times New Roman" w:cs="Times New Roman"/>
                <w:sz w:val="24"/>
                <w:szCs w:val="24"/>
              </w:rPr>
              <w:t xml:space="preserve"> 1:500, земельных участков, согласно прилагаемых ситуационных планов с указанными границами участка производства работ.</w:t>
            </w:r>
          </w:p>
          <w:p w:rsidR="00C05707" w:rsidRPr="00C03D9F" w:rsidRDefault="00C05707" w:rsidP="00C057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bookmark0"/>
            <w:r w:rsidRPr="00C03D9F">
              <w:rPr>
                <w:rFonts w:ascii="Times New Roman" w:hAnsi="Times New Roman" w:cs="Times New Roman"/>
                <w:sz w:val="24"/>
                <w:szCs w:val="24"/>
              </w:rPr>
              <w:t>Виды работ:</w:t>
            </w:r>
            <w:bookmarkEnd w:id="0"/>
          </w:p>
          <w:p w:rsidR="00C05707" w:rsidRPr="00C03D9F" w:rsidRDefault="00C05707" w:rsidP="00C05707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D9F">
              <w:rPr>
                <w:rFonts w:ascii="Times New Roman" w:hAnsi="Times New Roman" w:cs="Times New Roman"/>
                <w:sz w:val="24"/>
                <w:szCs w:val="24"/>
              </w:rPr>
              <w:t>Топографическая съемка участка в масштабе 1:500</w:t>
            </w:r>
            <w:r w:rsidR="006A0D59" w:rsidRPr="00C03D9F">
              <w:rPr>
                <w:rFonts w:ascii="Times New Roman" w:hAnsi="Times New Roman" w:cs="Times New Roman"/>
                <w:sz w:val="24"/>
                <w:szCs w:val="24"/>
              </w:rPr>
              <w:t xml:space="preserve"> с сечением рельефа через 0.5 м</w:t>
            </w:r>
            <w:r w:rsidRPr="00C03D9F">
              <w:rPr>
                <w:rFonts w:ascii="Times New Roman" w:hAnsi="Times New Roman" w:cs="Times New Roman"/>
                <w:sz w:val="24"/>
                <w:szCs w:val="24"/>
              </w:rPr>
              <w:t xml:space="preserve"> в системе координат МСК – 50, Балтийской системе высот 1977 года;</w:t>
            </w:r>
          </w:p>
          <w:p w:rsidR="00C05707" w:rsidRPr="00C03D9F" w:rsidRDefault="00C05707" w:rsidP="00C05707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D9F">
              <w:rPr>
                <w:rFonts w:ascii="Times New Roman" w:hAnsi="Times New Roman" w:cs="Times New Roman"/>
                <w:sz w:val="24"/>
                <w:szCs w:val="24"/>
              </w:rPr>
              <w:t>Выполнение съемки инженерных коммуникаций;</w:t>
            </w:r>
          </w:p>
          <w:p w:rsidR="00C05707" w:rsidRPr="00C03D9F" w:rsidRDefault="00C05707" w:rsidP="00C05707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D9F">
              <w:rPr>
                <w:rFonts w:ascii="Times New Roman" w:hAnsi="Times New Roman" w:cs="Times New Roman"/>
                <w:sz w:val="24"/>
                <w:szCs w:val="24"/>
              </w:rPr>
              <w:t>Согласование положения подземных инженерных сетей с эксплуатирующими организациями;</w:t>
            </w:r>
          </w:p>
          <w:p w:rsidR="00C05707" w:rsidRPr="00C03D9F" w:rsidRDefault="00C05707" w:rsidP="00C05707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D9F">
              <w:rPr>
                <w:rFonts w:ascii="Times New Roman" w:hAnsi="Times New Roman" w:cs="Times New Roman"/>
                <w:sz w:val="24"/>
                <w:szCs w:val="24"/>
              </w:rPr>
              <w:t>Создание</w:t>
            </w:r>
            <w:r w:rsidRPr="00C03D9F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топографической съемки на бумажном носителе по каждой работе в 3-х (трех) экземплярах;</w:t>
            </w:r>
          </w:p>
          <w:p w:rsidR="00C05707" w:rsidRPr="00C03D9F" w:rsidRDefault="00C05707" w:rsidP="00C05707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D9F">
              <w:rPr>
                <w:rFonts w:ascii="Times New Roman" w:hAnsi="Times New Roman" w:cs="Times New Roman"/>
                <w:sz w:val="24"/>
                <w:szCs w:val="24"/>
              </w:rPr>
              <w:t>Создание</w:t>
            </w:r>
            <w:r w:rsidRPr="00C03D9F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топографической съемки в электронном виде – 1 экземпляр (в редактируемом формате </w:t>
            </w:r>
            <w:r w:rsidRPr="00C03D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AutoCAD</w:t>
            </w:r>
            <w:r w:rsidRPr="00C03D9F">
              <w:rPr>
                <w:rFonts w:ascii="Times New Roman" w:hAnsi="Times New Roman" w:cs="Times New Roman"/>
                <w:sz w:val="24"/>
                <w:szCs w:val="24"/>
              </w:rPr>
              <w:t>, полностью идентичному печатному экземпляру.</w:t>
            </w:r>
          </w:p>
          <w:p w:rsidR="0044261A" w:rsidRDefault="00D00E4F" w:rsidP="00737F48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D9F">
              <w:rPr>
                <w:rFonts w:ascii="Times New Roman" w:hAnsi="Times New Roman" w:cs="Times New Roman"/>
                <w:sz w:val="24"/>
                <w:szCs w:val="24"/>
              </w:rPr>
              <w:t>Создание схемы границ земельного участка</w:t>
            </w:r>
          </w:p>
          <w:p w:rsidR="00C05707" w:rsidRDefault="0044261A" w:rsidP="00737F48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</w:t>
            </w:r>
            <w:r w:rsidR="00D00E4F" w:rsidRPr="00C03D9F">
              <w:rPr>
                <w:rFonts w:ascii="Times New Roman" w:hAnsi="Times New Roman" w:cs="Times New Roman"/>
                <w:sz w:val="24"/>
                <w:szCs w:val="24"/>
              </w:rPr>
              <w:t xml:space="preserve"> технического плана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земельного участка</w:t>
            </w:r>
            <w:r w:rsidR="00D00E4F" w:rsidRPr="00C03D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B18FA" w:rsidRDefault="006B18FA" w:rsidP="006B18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18FA" w:rsidRDefault="006B18FA" w:rsidP="006B18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18FA" w:rsidRPr="00C03D9F" w:rsidRDefault="006B18FA" w:rsidP="006B18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GoBack"/>
            <w:bookmarkEnd w:id="1"/>
          </w:p>
        </w:tc>
      </w:tr>
      <w:tr w:rsidR="00B74442" w:rsidTr="0071237D">
        <w:trPr>
          <w:trHeight w:val="555"/>
        </w:trPr>
        <w:tc>
          <w:tcPr>
            <w:tcW w:w="3135" w:type="dxa"/>
          </w:tcPr>
          <w:p w:rsidR="00B74442" w:rsidRPr="003A6EED" w:rsidRDefault="003A6EED" w:rsidP="003A6EE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Работы выполняются в соответствии с требованиями основных действующих нормативных документов</w:t>
            </w:r>
          </w:p>
        </w:tc>
        <w:tc>
          <w:tcPr>
            <w:tcW w:w="6716" w:type="dxa"/>
          </w:tcPr>
          <w:p w:rsidR="00B83032" w:rsidRPr="00D55905" w:rsidRDefault="00B83032" w:rsidP="00B83032">
            <w:pPr>
              <w:widowControl w:val="0"/>
              <w:numPr>
                <w:ilvl w:val="1"/>
                <w:numId w:val="3"/>
              </w:numPr>
              <w:tabs>
                <w:tab w:val="left" w:pos="819"/>
              </w:tabs>
              <w:spacing w:after="0" w:line="240" w:lineRule="auto"/>
              <w:ind w:left="420" w:right="40" w:hanging="420"/>
              <w:jc w:val="both"/>
            </w:pPr>
            <w:r w:rsidRPr="00D55905">
              <w:rPr>
                <w:rStyle w:val="BodytextSpacing0pt"/>
                <w:rFonts w:eastAsiaTheme="minorHAnsi"/>
                <w:sz w:val="24"/>
                <w:szCs w:val="24"/>
              </w:rPr>
              <w:t>СНиП 11-02-96 «Инженерные изыскания для строительства» - М.: ПНИИС Госстроя России 1996г;</w:t>
            </w:r>
          </w:p>
          <w:p w:rsidR="00B83032" w:rsidRPr="00D55905" w:rsidRDefault="00B83032" w:rsidP="00B83032">
            <w:pPr>
              <w:pStyle w:val="a3"/>
              <w:numPr>
                <w:ilvl w:val="1"/>
                <w:numId w:val="3"/>
              </w:numPr>
              <w:suppressAutoHyphens/>
              <w:spacing w:after="0" w:line="240" w:lineRule="auto"/>
              <w:ind w:left="420" w:hanging="420"/>
              <w:rPr>
                <w:rStyle w:val="BodytextSpacing0pt"/>
                <w:rFonts w:eastAsiaTheme="minorHAnsi"/>
                <w:sz w:val="24"/>
                <w:szCs w:val="24"/>
              </w:rPr>
            </w:pPr>
            <w:r w:rsidRPr="00D55905">
              <w:rPr>
                <w:rStyle w:val="BodytextSpacing0pt"/>
                <w:rFonts w:eastAsiaTheme="minorHAnsi"/>
                <w:sz w:val="24"/>
                <w:szCs w:val="24"/>
              </w:rPr>
              <w:t xml:space="preserve">СП 11-104-97. Инженерно-геодезические изыскания для строительства. Части </w:t>
            </w:r>
            <w:r w:rsidRPr="00D55905">
              <w:rPr>
                <w:rStyle w:val="BodytextSpacing0pt"/>
                <w:rFonts w:eastAsiaTheme="minorHAnsi"/>
                <w:sz w:val="24"/>
                <w:szCs w:val="24"/>
                <w:lang w:val="en-US"/>
              </w:rPr>
              <w:t>I</w:t>
            </w:r>
            <w:r w:rsidRPr="00075F89">
              <w:rPr>
                <w:rStyle w:val="BodytextSpacing0pt"/>
                <w:rFonts w:eastAsiaTheme="minorHAnsi"/>
                <w:sz w:val="24"/>
                <w:szCs w:val="24"/>
              </w:rPr>
              <w:t>,</w:t>
            </w:r>
            <w:r w:rsidRPr="00D55905">
              <w:rPr>
                <w:rStyle w:val="BodytextSpacing0pt"/>
                <w:rFonts w:eastAsiaTheme="minorHAnsi"/>
                <w:sz w:val="24"/>
                <w:szCs w:val="24"/>
              </w:rPr>
              <w:t xml:space="preserve"> </w:t>
            </w:r>
            <w:proofErr w:type="gramStart"/>
            <w:r w:rsidRPr="00D55905">
              <w:rPr>
                <w:rStyle w:val="BodytextSpacing0pt"/>
                <w:rFonts w:eastAsiaTheme="minorHAnsi"/>
                <w:sz w:val="24"/>
                <w:szCs w:val="24"/>
              </w:rPr>
              <w:t>II..</w:t>
            </w:r>
            <w:proofErr w:type="gramEnd"/>
            <w:r w:rsidRPr="00D55905">
              <w:rPr>
                <w:rStyle w:val="BodytextSpacing0pt"/>
                <w:rFonts w:eastAsiaTheme="minorHAnsi"/>
                <w:sz w:val="24"/>
                <w:szCs w:val="24"/>
              </w:rPr>
              <w:t xml:space="preserve"> — - М.: ПНИИС Госстроя России 199</w:t>
            </w:r>
            <w:r w:rsidRPr="00075F89">
              <w:rPr>
                <w:rStyle w:val="BodytextSpacing0pt"/>
                <w:rFonts w:eastAsiaTheme="minorHAnsi"/>
                <w:sz w:val="24"/>
                <w:szCs w:val="24"/>
              </w:rPr>
              <w:t>7</w:t>
            </w:r>
            <w:r w:rsidRPr="00D55905">
              <w:rPr>
                <w:rStyle w:val="BodytextSpacing0pt"/>
                <w:rFonts w:eastAsiaTheme="minorHAnsi"/>
                <w:sz w:val="24"/>
                <w:szCs w:val="24"/>
              </w:rPr>
              <w:t>г;</w:t>
            </w:r>
          </w:p>
          <w:p w:rsidR="00B83032" w:rsidRPr="00D55905" w:rsidRDefault="00B83032" w:rsidP="00B83032">
            <w:pPr>
              <w:widowControl w:val="0"/>
              <w:tabs>
                <w:tab w:val="left" w:pos="819"/>
              </w:tabs>
              <w:ind w:left="900" w:right="40"/>
              <w:jc w:val="both"/>
            </w:pPr>
          </w:p>
          <w:p w:rsidR="00B83032" w:rsidRPr="00D55905" w:rsidRDefault="00B83032" w:rsidP="00B83032">
            <w:pPr>
              <w:widowControl w:val="0"/>
              <w:numPr>
                <w:ilvl w:val="1"/>
                <w:numId w:val="3"/>
              </w:numPr>
              <w:tabs>
                <w:tab w:val="left" w:pos="819"/>
              </w:tabs>
              <w:spacing w:after="0" w:line="240" w:lineRule="auto"/>
              <w:ind w:left="420" w:right="40" w:hanging="420"/>
              <w:jc w:val="both"/>
            </w:pPr>
            <w:r w:rsidRPr="00D55905">
              <w:rPr>
                <w:rStyle w:val="BodytextSpacing0pt"/>
                <w:rFonts w:eastAsiaTheme="minorHAnsi"/>
                <w:sz w:val="24"/>
                <w:szCs w:val="24"/>
              </w:rPr>
              <w:t>С</w:t>
            </w:r>
            <w:r w:rsidR="00B01F35">
              <w:rPr>
                <w:rStyle w:val="BodytextSpacing0pt"/>
                <w:rFonts w:eastAsiaTheme="minorHAnsi"/>
                <w:sz w:val="24"/>
                <w:szCs w:val="24"/>
              </w:rPr>
              <w:t>Н</w:t>
            </w:r>
            <w:r w:rsidRPr="00D55905">
              <w:rPr>
                <w:rStyle w:val="BodytextSpacing0pt"/>
                <w:rFonts w:eastAsiaTheme="minorHAnsi"/>
                <w:sz w:val="24"/>
                <w:szCs w:val="24"/>
              </w:rPr>
              <w:t>иП 3.01.03-84 «Геодезические работы в строительстве» М 1985г;</w:t>
            </w:r>
          </w:p>
          <w:p w:rsidR="00B83032" w:rsidRPr="00D55905" w:rsidRDefault="00B83032" w:rsidP="00B83032">
            <w:pPr>
              <w:widowControl w:val="0"/>
              <w:numPr>
                <w:ilvl w:val="1"/>
                <w:numId w:val="3"/>
              </w:numPr>
              <w:tabs>
                <w:tab w:val="left" w:pos="819"/>
              </w:tabs>
              <w:spacing w:after="0" w:line="240" w:lineRule="auto"/>
              <w:ind w:left="420" w:right="40" w:hanging="420"/>
              <w:jc w:val="both"/>
            </w:pPr>
            <w:r w:rsidRPr="00D55905">
              <w:rPr>
                <w:rStyle w:val="BodytextSpacing0pt"/>
                <w:rFonts w:eastAsiaTheme="minorHAnsi"/>
                <w:sz w:val="24"/>
                <w:szCs w:val="24"/>
              </w:rPr>
              <w:t>Условные знаки для топографических планов масштабов 1:5000 – 1:500, издательство «Недра» 1989г;</w:t>
            </w:r>
          </w:p>
          <w:p w:rsidR="00B83032" w:rsidRPr="00D55905" w:rsidRDefault="00B83032" w:rsidP="00B83032">
            <w:pPr>
              <w:widowControl w:val="0"/>
              <w:numPr>
                <w:ilvl w:val="1"/>
                <w:numId w:val="3"/>
              </w:numPr>
              <w:tabs>
                <w:tab w:val="left" w:pos="819"/>
              </w:tabs>
              <w:spacing w:after="0" w:line="240" w:lineRule="auto"/>
              <w:ind w:left="420" w:right="40" w:hanging="420"/>
              <w:jc w:val="both"/>
              <w:rPr>
                <w:rStyle w:val="BodytextSpacing0pt"/>
                <w:rFonts w:eastAsiaTheme="minorHAnsi"/>
                <w:sz w:val="24"/>
                <w:szCs w:val="24"/>
              </w:rPr>
            </w:pPr>
            <w:r w:rsidRPr="00D55905">
              <w:rPr>
                <w:rStyle w:val="BodytextSpacing0pt"/>
                <w:rFonts w:eastAsiaTheme="minorHAnsi"/>
                <w:sz w:val="24"/>
                <w:szCs w:val="24"/>
              </w:rPr>
              <w:t>Инструкция по топографической съемке в масштабах 1:5000, 1:2000, 1:1000, 1:500. М «Недра» 1973г;</w:t>
            </w:r>
          </w:p>
          <w:p w:rsidR="00B83032" w:rsidRPr="00D55905" w:rsidRDefault="00B83032" w:rsidP="00B83032">
            <w:pPr>
              <w:widowControl w:val="0"/>
              <w:numPr>
                <w:ilvl w:val="1"/>
                <w:numId w:val="3"/>
              </w:numPr>
              <w:tabs>
                <w:tab w:val="left" w:pos="819"/>
              </w:tabs>
              <w:spacing w:after="0" w:line="240" w:lineRule="auto"/>
              <w:ind w:left="420" w:right="40" w:hanging="420"/>
              <w:jc w:val="both"/>
            </w:pPr>
            <w:r w:rsidRPr="00D55905">
              <w:rPr>
                <w:rStyle w:val="BodytextSpacing0pt"/>
                <w:rFonts w:eastAsiaTheme="minorHAnsi"/>
                <w:sz w:val="24"/>
                <w:szCs w:val="24"/>
              </w:rPr>
              <w:t>Постановление Правительства РФ от 19.01.2006 г № 20 «Об инженерных изысканиях для подготовки проектной документации, строительства, реконструкции объектов капитального строительства»</w:t>
            </w:r>
          </w:p>
          <w:p w:rsidR="00B74442" w:rsidRPr="00E102BA" w:rsidRDefault="00B74442" w:rsidP="00653A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4442" w:rsidTr="0071237D">
        <w:trPr>
          <w:trHeight w:val="465"/>
        </w:trPr>
        <w:tc>
          <w:tcPr>
            <w:tcW w:w="3135" w:type="dxa"/>
          </w:tcPr>
          <w:p w:rsidR="00B74442" w:rsidRPr="00451633" w:rsidRDefault="00451633" w:rsidP="004516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1633">
              <w:rPr>
                <w:rFonts w:ascii="Times New Roman" w:hAnsi="Times New Roman" w:cs="Times New Roman"/>
                <w:sz w:val="28"/>
                <w:szCs w:val="28"/>
              </w:rPr>
              <w:t>6. Дополнительные требования</w:t>
            </w:r>
          </w:p>
        </w:tc>
        <w:tc>
          <w:tcPr>
            <w:tcW w:w="6716" w:type="dxa"/>
          </w:tcPr>
          <w:p w:rsidR="005C53E2" w:rsidRPr="00C03D9F" w:rsidRDefault="005C53E2" w:rsidP="005C53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D9F"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 работ- с </w:t>
            </w:r>
            <w:proofErr w:type="gramStart"/>
            <w:r w:rsidRPr="00C03D9F">
              <w:rPr>
                <w:rFonts w:ascii="Times New Roman" w:hAnsi="Times New Roman" w:cs="Times New Roman"/>
                <w:sz w:val="24"/>
                <w:szCs w:val="24"/>
              </w:rPr>
              <w:t>даты  заключения</w:t>
            </w:r>
            <w:proofErr w:type="gramEnd"/>
            <w:r w:rsidRPr="00C03D9F">
              <w:rPr>
                <w:rFonts w:ascii="Times New Roman" w:hAnsi="Times New Roman" w:cs="Times New Roman"/>
                <w:sz w:val="24"/>
                <w:szCs w:val="24"/>
              </w:rPr>
              <w:t xml:space="preserve"> договора по 29 октября 2021 года включительно.</w:t>
            </w:r>
          </w:p>
          <w:p w:rsidR="00B74442" w:rsidRPr="00C03D9F" w:rsidRDefault="005C53E2" w:rsidP="001E1E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D9F">
              <w:rPr>
                <w:rFonts w:ascii="Times New Roman" w:hAnsi="Times New Roman" w:cs="Times New Roman"/>
                <w:sz w:val="24"/>
                <w:szCs w:val="24"/>
              </w:rPr>
              <w:t xml:space="preserve">Работы будут выполняться частями на протяжении действия заключенного договора с Исполнителем, в соответствии с заявками Заказчика, на основании </w:t>
            </w:r>
            <w:r w:rsidR="00D53E52" w:rsidRPr="00C03D9F">
              <w:rPr>
                <w:rFonts w:ascii="Times New Roman" w:hAnsi="Times New Roman" w:cs="Times New Roman"/>
                <w:sz w:val="24"/>
                <w:szCs w:val="24"/>
              </w:rPr>
              <w:t xml:space="preserve">расчета стоимости </w:t>
            </w:r>
            <w:r w:rsidRPr="00C03D9F">
              <w:rPr>
                <w:rFonts w:ascii="Times New Roman" w:hAnsi="Times New Roman" w:cs="Times New Roman"/>
                <w:sz w:val="24"/>
                <w:szCs w:val="24"/>
              </w:rPr>
              <w:t>на проектно-изыскательные работы</w:t>
            </w:r>
            <w:r w:rsidR="00D53E52" w:rsidRPr="00C03D9F">
              <w:rPr>
                <w:rFonts w:ascii="Times New Roman" w:hAnsi="Times New Roman" w:cs="Times New Roman"/>
                <w:sz w:val="24"/>
                <w:szCs w:val="24"/>
              </w:rPr>
              <w:t>, составленной Исполнителем</w:t>
            </w:r>
            <w:r w:rsidR="001E1E02" w:rsidRPr="00C03D9F">
              <w:rPr>
                <w:rFonts w:ascii="Times New Roman" w:hAnsi="Times New Roman" w:cs="Times New Roman"/>
                <w:sz w:val="24"/>
                <w:szCs w:val="24"/>
              </w:rPr>
              <w:t>, по каждому объекту Заказчика</w:t>
            </w:r>
            <w:r w:rsidRPr="00C03D9F">
              <w:rPr>
                <w:rFonts w:ascii="Times New Roman" w:hAnsi="Times New Roman" w:cs="Times New Roman"/>
                <w:sz w:val="24"/>
                <w:szCs w:val="24"/>
              </w:rPr>
              <w:t>. Общая сумма расчетов стоимости производства работ по каждому отдельному объекту Заказчика,   не должна превышать общей суммы договора, так же общая площадь всех объектов Заказчика,  по договору с Исполнителем, для подготовки инженерно-топографических планов в масштабе 1:500  должна</w:t>
            </w:r>
            <w:r w:rsidR="001E1E02" w:rsidRPr="00C03D9F">
              <w:rPr>
                <w:rFonts w:ascii="Times New Roman" w:hAnsi="Times New Roman" w:cs="Times New Roman"/>
                <w:sz w:val="24"/>
                <w:szCs w:val="24"/>
              </w:rPr>
              <w:t xml:space="preserve"> быть не менее </w:t>
            </w:r>
            <w:r w:rsidRPr="00C03D9F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5E6705" w:rsidRPr="00C03D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709C3" w:rsidRPr="00C03D9F">
              <w:rPr>
                <w:rFonts w:ascii="Times New Roman" w:hAnsi="Times New Roman" w:cs="Times New Roman"/>
                <w:sz w:val="24"/>
                <w:szCs w:val="24"/>
              </w:rPr>
              <w:t xml:space="preserve"> Га и должна быть произведена</w:t>
            </w:r>
            <w:r w:rsidR="006D14BC" w:rsidRPr="00C03D9F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подготовка технических планов и схем границ земельных участков в деревне </w:t>
            </w:r>
            <w:proofErr w:type="spellStart"/>
            <w:r w:rsidR="006D14BC" w:rsidRPr="00C03D9F">
              <w:rPr>
                <w:rFonts w:ascii="Times New Roman" w:hAnsi="Times New Roman" w:cs="Times New Roman"/>
                <w:sz w:val="24"/>
                <w:szCs w:val="24"/>
              </w:rPr>
              <w:t>Барабаново</w:t>
            </w:r>
            <w:proofErr w:type="spellEnd"/>
            <w:r w:rsidR="006D14BC" w:rsidRPr="00C03D9F">
              <w:rPr>
                <w:rFonts w:ascii="Times New Roman" w:hAnsi="Times New Roman" w:cs="Times New Roman"/>
                <w:sz w:val="24"/>
                <w:szCs w:val="24"/>
              </w:rPr>
              <w:t xml:space="preserve"> и микрорайоне Ожерелье городского округа Кашира Московской области</w:t>
            </w:r>
            <w:r w:rsidR="002709C3" w:rsidRPr="00C03D9F">
              <w:rPr>
                <w:rFonts w:ascii="Times New Roman" w:hAnsi="Times New Roman" w:cs="Times New Roman"/>
                <w:sz w:val="24"/>
                <w:szCs w:val="24"/>
              </w:rPr>
              <w:t>, согласно прилагаемых схем.</w:t>
            </w:r>
          </w:p>
          <w:p w:rsidR="009E4E33" w:rsidRPr="00C03D9F" w:rsidRDefault="009E4E33" w:rsidP="001E1E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442" w:rsidTr="0071237D">
        <w:trPr>
          <w:trHeight w:val="615"/>
        </w:trPr>
        <w:tc>
          <w:tcPr>
            <w:tcW w:w="3135" w:type="dxa"/>
          </w:tcPr>
          <w:p w:rsidR="00B74442" w:rsidRPr="00E102BA" w:rsidRDefault="001D47D2" w:rsidP="001D47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 Перечень материалов, выдаваемых Заказчику по завершении работ</w:t>
            </w:r>
          </w:p>
        </w:tc>
        <w:tc>
          <w:tcPr>
            <w:tcW w:w="6716" w:type="dxa"/>
          </w:tcPr>
          <w:p w:rsidR="00791CA4" w:rsidRPr="00C03D9F" w:rsidRDefault="00791CA4" w:rsidP="00791CA4">
            <w:pPr>
              <w:widowControl w:val="0"/>
              <w:numPr>
                <w:ilvl w:val="1"/>
                <w:numId w:val="4"/>
              </w:numPr>
              <w:tabs>
                <w:tab w:val="left" w:pos="819"/>
              </w:tabs>
              <w:suppressAutoHyphens/>
              <w:spacing w:after="0" w:line="240" w:lineRule="auto"/>
              <w:ind w:right="4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D9F"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  <w:lang w:eastAsia="ru-RU"/>
              </w:rPr>
              <w:t>Цифровой векторный топографический план с подземными инженерными</w:t>
            </w:r>
            <w:r w:rsidRPr="00C03D9F"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  <w:lang w:eastAsia="ru-RU"/>
              </w:rPr>
              <w:br/>
              <w:t>сооружениями в масштабе 1:500 в формате на диске (1 шт.);</w:t>
            </w:r>
          </w:p>
          <w:p w:rsidR="00791CA4" w:rsidRPr="00C03D9F" w:rsidRDefault="00791CA4" w:rsidP="00791CA4">
            <w:pPr>
              <w:widowControl w:val="0"/>
              <w:numPr>
                <w:ilvl w:val="1"/>
                <w:numId w:val="4"/>
              </w:numPr>
              <w:tabs>
                <w:tab w:val="left" w:pos="81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D9F"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  <w:lang w:eastAsia="ru-RU"/>
              </w:rPr>
              <w:t>Копия совмещенного топографического плана в масштабе 1:500 на бумаге (3 экз.);</w:t>
            </w:r>
          </w:p>
          <w:p w:rsidR="00791CA4" w:rsidRPr="00C03D9F" w:rsidRDefault="00791CA4" w:rsidP="00791CA4">
            <w:pPr>
              <w:widowControl w:val="0"/>
              <w:numPr>
                <w:ilvl w:val="1"/>
                <w:numId w:val="4"/>
              </w:numPr>
              <w:tabs>
                <w:tab w:val="left" w:pos="819"/>
              </w:tabs>
              <w:suppressAutoHyphens/>
              <w:spacing w:after="0" w:line="240" w:lineRule="auto"/>
              <w:ind w:right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D9F"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  <w:lang w:eastAsia="ru-RU"/>
              </w:rPr>
              <w:t>Экспликации колодцев подземных инженерных сооружений в электронном виде в</w:t>
            </w:r>
            <w:r w:rsidRPr="00C03D9F"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  <w:lang w:eastAsia="ru-RU"/>
              </w:rPr>
              <w:br/>
              <w:t xml:space="preserve">формате </w:t>
            </w:r>
            <w:r w:rsidRPr="00C03D9F"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  <w:lang w:val="en-US" w:eastAsia="ru-RU"/>
              </w:rPr>
              <w:t>XLS</w:t>
            </w:r>
            <w:r w:rsidRPr="00C03D9F"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  <w:lang w:eastAsia="ru-RU"/>
              </w:rPr>
              <w:t xml:space="preserve"> на диске (1 шт.);</w:t>
            </w:r>
          </w:p>
          <w:p w:rsidR="00791CA4" w:rsidRPr="00C03D9F" w:rsidRDefault="00791CA4" w:rsidP="00791CA4">
            <w:pPr>
              <w:widowControl w:val="0"/>
              <w:numPr>
                <w:ilvl w:val="1"/>
                <w:numId w:val="4"/>
              </w:numPr>
              <w:tabs>
                <w:tab w:val="left" w:pos="81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D9F"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  <w:lang w:eastAsia="ru-RU"/>
              </w:rPr>
              <w:t>Технический отчет в отпечатанном виде (3 экз.) и в электронном виде на диске (1 шт.);</w:t>
            </w:r>
          </w:p>
          <w:p w:rsidR="00791CA4" w:rsidRPr="00C03D9F" w:rsidRDefault="00791CA4" w:rsidP="00791CA4">
            <w:pPr>
              <w:widowControl w:val="0"/>
              <w:numPr>
                <w:ilvl w:val="1"/>
                <w:numId w:val="4"/>
              </w:numPr>
              <w:tabs>
                <w:tab w:val="left" w:pos="81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D9F"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  <w:lang w:eastAsia="ru-RU"/>
              </w:rPr>
              <w:t>Копия топографического плана на бумаг</w:t>
            </w:r>
            <w:r w:rsidR="0000059D" w:rsidRPr="00C03D9F"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  <w:lang w:eastAsia="ru-RU"/>
              </w:rPr>
              <w:t>е с отметками о сверке (1 экз.);</w:t>
            </w:r>
          </w:p>
          <w:p w:rsidR="00114992" w:rsidRPr="00114992" w:rsidRDefault="0000059D" w:rsidP="00791CA4">
            <w:pPr>
              <w:widowControl w:val="0"/>
              <w:numPr>
                <w:ilvl w:val="1"/>
                <w:numId w:val="4"/>
              </w:numPr>
              <w:tabs>
                <w:tab w:val="left" w:pos="81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D9F"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  <w:lang w:eastAsia="ru-RU"/>
              </w:rPr>
              <w:lastRenderedPageBreak/>
              <w:t xml:space="preserve"> Технический план </w:t>
            </w:r>
            <w:r w:rsidR="00114992"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  <w:lang w:eastAsia="ru-RU"/>
              </w:rPr>
              <w:t xml:space="preserve">земельного участка д. </w:t>
            </w:r>
            <w:proofErr w:type="spellStart"/>
            <w:r w:rsidR="00114992"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  <w:lang w:eastAsia="ru-RU"/>
              </w:rPr>
              <w:t>Барабаново</w:t>
            </w:r>
            <w:proofErr w:type="spellEnd"/>
            <w:r w:rsidR="00114992"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  <w:lang w:eastAsia="ru-RU"/>
              </w:rPr>
              <w:t>;</w:t>
            </w:r>
          </w:p>
          <w:p w:rsidR="0000059D" w:rsidRPr="00C03D9F" w:rsidRDefault="00114992" w:rsidP="00791CA4">
            <w:pPr>
              <w:widowControl w:val="0"/>
              <w:numPr>
                <w:ilvl w:val="1"/>
                <w:numId w:val="4"/>
              </w:numPr>
              <w:tabs>
                <w:tab w:val="left" w:pos="81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  <w:lang w:eastAsia="ru-RU"/>
              </w:rPr>
              <w:t>С</w:t>
            </w:r>
            <w:r w:rsidR="0000059D" w:rsidRPr="00C03D9F"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  <w:lang w:eastAsia="ru-RU"/>
              </w:rPr>
              <w:t xml:space="preserve">хема границ земельного участка в д. </w:t>
            </w:r>
            <w:proofErr w:type="spellStart"/>
            <w:r w:rsidR="0000059D" w:rsidRPr="00C03D9F"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  <w:lang w:eastAsia="ru-RU"/>
              </w:rPr>
              <w:t>Барабаново</w:t>
            </w:r>
            <w:proofErr w:type="spellEnd"/>
            <w:r w:rsidR="0000059D" w:rsidRPr="00C03D9F"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  <w:lang w:eastAsia="ru-RU"/>
              </w:rPr>
              <w:t>;</w:t>
            </w:r>
          </w:p>
          <w:p w:rsidR="00114992" w:rsidRPr="00114992" w:rsidRDefault="0000059D" w:rsidP="00791CA4">
            <w:pPr>
              <w:widowControl w:val="0"/>
              <w:numPr>
                <w:ilvl w:val="1"/>
                <w:numId w:val="4"/>
              </w:numPr>
              <w:tabs>
                <w:tab w:val="left" w:pos="81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D9F"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  <w:lang w:eastAsia="ru-RU"/>
              </w:rPr>
              <w:t>Технический план</w:t>
            </w:r>
            <w:r w:rsidR="00114992"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  <w:lang w:eastAsia="ru-RU"/>
              </w:rPr>
              <w:t xml:space="preserve"> земельного участка </w:t>
            </w:r>
            <w:proofErr w:type="spellStart"/>
            <w:r w:rsidR="00114992"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  <w:lang w:eastAsia="ru-RU"/>
              </w:rPr>
              <w:t>микр.Ожерелье</w:t>
            </w:r>
            <w:proofErr w:type="spellEnd"/>
          </w:p>
          <w:p w:rsidR="0000059D" w:rsidRPr="00C03D9F" w:rsidRDefault="00114992" w:rsidP="00791CA4">
            <w:pPr>
              <w:widowControl w:val="0"/>
              <w:numPr>
                <w:ilvl w:val="1"/>
                <w:numId w:val="4"/>
              </w:numPr>
              <w:tabs>
                <w:tab w:val="left" w:pos="81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  <w:lang w:eastAsia="ru-RU"/>
              </w:rPr>
              <w:t>С</w:t>
            </w:r>
            <w:r w:rsidR="0000059D" w:rsidRPr="00C03D9F"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  <w:lang w:eastAsia="ru-RU"/>
              </w:rPr>
              <w:t xml:space="preserve">хема границ земельного участка в </w:t>
            </w:r>
            <w:proofErr w:type="spellStart"/>
            <w:r w:rsidR="0000059D" w:rsidRPr="00C03D9F"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  <w:lang w:eastAsia="ru-RU"/>
              </w:rPr>
              <w:t>микр</w:t>
            </w:r>
            <w:proofErr w:type="spellEnd"/>
            <w:r w:rsidR="0000059D" w:rsidRPr="00C03D9F"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  <w:lang w:eastAsia="ru-RU"/>
              </w:rPr>
              <w:t>. Ожерелье.</w:t>
            </w:r>
          </w:p>
          <w:p w:rsidR="00791CA4" w:rsidRPr="00C03D9F" w:rsidRDefault="00791CA4" w:rsidP="00791CA4">
            <w:pPr>
              <w:widowControl w:val="0"/>
              <w:tabs>
                <w:tab w:val="left" w:pos="819"/>
              </w:tabs>
              <w:spacing w:after="0" w:line="240" w:lineRule="auto"/>
              <w:ind w:left="9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4442" w:rsidRPr="00C03D9F" w:rsidRDefault="00B74442" w:rsidP="00653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442" w:rsidTr="0071237D">
        <w:trPr>
          <w:trHeight w:val="570"/>
        </w:trPr>
        <w:tc>
          <w:tcPr>
            <w:tcW w:w="3135" w:type="dxa"/>
          </w:tcPr>
          <w:p w:rsidR="00B74442" w:rsidRPr="00D553DF" w:rsidRDefault="00D553DF" w:rsidP="00D553DF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Условия выполнения работ</w:t>
            </w:r>
          </w:p>
        </w:tc>
        <w:tc>
          <w:tcPr>
            <w:tcW w:w="6716" w:type="dxa"/>
          </w:tcPr>
          <w:p w:rsidR="00BA2B1B" w:rsidRPr="00C03D9F" w:rsidRDefault="00BA2B1B" w:rsidP="00BA2B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D9F">
              <w:rPr>
                <w:rFonts w:ascii="Times New Roman" w:hAnsi="Times New Roman" w:cs="Times New Roman"/>
                <w:sz w:val="24"/>
                <w:szCs w:val="24"/>
              </w:rPr>
              <w:t>Наличие Свидетельства о вступлении в саморегулируемую организацию (СРО) и Свидетельства о допуске к работам, которые оказывают влияние на безопасность объектов капитального строительства</w:t>
            </w:r>
            <w:r w:rsidR="00023EDF" w:rsidRPr="00C03D9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03D9F">
              <w:rPr>
                <w:rFonts w:ascii="Times New Roman" w:hAnsi="Times New Roman" w:cs="Times New Roman"/>
                <w:sz w:val="24"/>
                <w:szCs w:val="24"/>
              </w:rPr>
              <w:t xml:space="preserve"> выданное саморегулируемой организацией по строительству, реконструкции и капитальному ремонту: 1. Работы в составе инженерно-геодезических изысканий; 2. Создание и обновление инженерно-топографических планов в масштабе 1:500, в том числе в цифровой форме, съемка подземных коммуникаций и сооружений.</w:t>
            </w:r>
          </w:p>
          <w:p w:rsidR="00B74442" w:rsidRPr="00C03D9F" w:rsidRDefault="00B74442" w:rsidP="00653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442" w:rsidTr="0071237D">
        <w:trPr>
          <w:trHeight w:val="840"/>
        </w:trPr>
        <w:tc>
          <w:tcPr>
            <w:tcW w:w="3135" w:type="dxa"/>
          </w:tcPr>
          <w:p w:rsidR="00B74442" w:rsidRPr="00277A79" w:rsidRDefault="00277A79" w:rsidP="00277A79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Техническое обеспечение</w:t>
            </w:r>
          </w:p>
        </w:tc>
        <w:tc>
          <w:tcPr>
            <w:tcW w:w="6716" w:type="dxa"/>
          </w:tcPr>
          <w:p w:rsidR="007B32EA" w:rsidRPr="00C03D9F" w:rsidRDefault="007B32EA" w:rsidP="007B32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D9F">
              <w:rPr>
                <w:rFonts w:ascii="Times New Roman" w:hAnsi="Times New Roman" w:cs="Times New Roman"/>
                <w:sz w:val="24"/>
                <w:szCs w:val="24"/>
              </w:rPr>
              <w:t>9.1. Исполнителю (Подрядчику) необходимо иметь:</w:t>
            </w:r>
          </w:p>
          <w:p w:rsidR="007B32EA" w:rsidRPr="00C03D9F" w:rsidRDefault="007B32EA" w:rsidP="007B32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D9F">
              <w:rPr>
                <w:rFonts w:ascii="Times New Roman" w:hAnsi="Times New Roman" w:cs="Times New Roman"/>
                <w:sz w:val="24"/>
                <w:szCs w:val="24"/>
              </w:rPr>
              <w:t>- автотранспорт для доставки бригады – не менее 1 ед.;</w:t>
            </w:r>
          </w:p>
          <w:p w:rsidR="007B32EA" w:rsidRPr="00C03D9F" w:rsidRDefault="007B32EA" w:rsidP="007B32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D9F">
              <w:rPr>
                <w:rFonts w:ascii="Times New Roman" w:hAnsi="Times New Roman" w:cs="Times New Roman"/>
                <w:sz w:val="24"/>
                <w:szCs w:val="24"/>
              </w:rPr>
              <w:t>- прошедшие поверку измерительные приборы (нивелир – не менее 1 ед., теодолит – не менее 1 ед., дальномер – не менее 1 ед., рейка – не менее 1 ед., штатив – не менее 1 ед.);</w:t>
            </w:r>
          </w:p>
          <w:p w:rsidR="007B32EA" w:rsidRPr="00C03D9F" w:rsidRDefault="007B32EA" w:rsidP="007B32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D9F">
              <w:rPr>
                <w:rFonts w:ascii="Times New Roman" w:hAnsi="Times New Roman" w:cs="Times New Roman"/>
                <w:sz w:val="24"/>
                <w:szCs w:val="24"/>
              </w:rPr>
              <w:t>- наличие квалифицированного персонала по выполнению данных работ (главный специалист – не менее 1 чел., инженер-геодезист – не менее 1 чел., техник-геодезист – не менее 2 чел.);</w:t>
            </w:r>
          </w:p>
          <w:p w:rsidR="007B32EA" w:rsidRPr="00C03D9F" w:rsidRDefault="007B32EA" w:rsidP="007B32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2EA" w:rsidRPr="00C03D9F" w:rsidRDefault="007B32EA" w:rsidP="007B32EA">
            <w:pPr>
              <w:pStyle w:val="a3"/>
              <w:numPr>
                <w:ilvl w:val="1"/>
                <w:numId w:val="5"/>
              </w:num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D9F">
              <w:rPr>
                <w:rFonts w:ascii="Times New Roman" w:hAnsi="Times New Roman" w:cs="Times New Roman"/>
                <w:sz w:val="24"/>
                <w:szCs w:val="24"/>
              </w:rPr>
              <w:t xml:space="preserve"> Наличие опыта выполнения аналогичных работ за последние 3 года (2017 – 2020 </w:t>
            </w:r>
            <w:proofErr w:type="spellStart"/>
            <w:r w:rsidRPr="00C03D9F"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  <w:proofErr w:type="spellEnd"/>
            <w:r w:rsidRPr="00C03D9F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B74442" w:rsidRPr="00C03D9F" w:rsidRDefault="00B74442" w:rsidP="00653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442" w:rsidTr="0071237D">
        <w:trPr>
          <w:trHeight w:val="810"/>
        </w:trPr>
        <w:tc>
          <w:tcPr>
            <w:tcW w:w="3135" w:type="dxa"/>
          </w:tcPr>
          <w:p w:rsidR="00B74442" w:rsidRPr="00FF4F2F" w:rsidRDefault="00FF4F2F" w:rsidP="00FF4F2F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Порядок (последовательность, этапы) выполнения работ</w:t>
            </w:r>
          </w:p>
        </w:tc>
        <w:tc>
          <w:tcPr>
            <w:tcW w:w="6716" w:type="dxa"/>
          </w:tcPr>
          <w:p w:rsidR="00B74442" w:rsidRPr="00C03D9F" w:rsidRDefault="00863C60" w:rsidP="00F379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D9F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Заявкой заказчика, </w:t>
            </w:r>
            <w:r w:rsidR="003103CE" w:rsidRPr="00C03D9F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C03D9F">
              <w:rPr>
                <w:rFonts w:ascii="Times New Roman" w:hAnsi="Times New Roman" w:cs="Times New Roman"/>
                <w:sz w:val="24"/>
                <w:szCs w:val="24"/>
              </w:rPr>
              <w:t>составлением</w:t>
            </w:r>
            <w:r w:rsidR="00F37902" w:rsidRPr="00C03D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F37902" w:rsidRPr="00C03D9F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Исполнителем </w:t>
            </w:r>
            <w:r w:rsidRPr="00C03D9F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proofErr w:type="gramEnd"/>
            <w:r w:rsidRPr="00C03D9F">
              <w:rPr>
                <w:rFonts w:ascii="Times New Roman" w:hAnsi="Times New Roman" w:cs="Times New Roman"/>
                <w:sz w:val="24"/>
                <w:szCs w:val="24"/>
              </w:rPr>
              <w:t xml:space="preserve"> утверждением </w:t>
            </w:r>
            <w:r w:rsidR="00F37902" w:rsidRPr="00C03D9F">
              <w:rPr>
                <w:rFonts w:ascii="Times New Roman" w:hAnsi="Times New Roman" w:cs="Times New Roman"/>
                <w:sz w:val="24"/>
                <w:szCs w:val="24"/>
              </w:rPr>
              <w:t xml:space="preserve"> Заказчиком </w:t>
            </w:r>
            <w:r w:rsidR="003103CE" w:rsidRPr="00C03D9F">
              <w:rPr>
                <w:rFonts w:ascii="Times New Roman" w:hAnsi="Times New Roman" w:cs="Times New Roman"/>
                <w:sz w:val="24"/>
                <w:szCs w:val="24"/>
              </w:rPr>
              <w:t>расчета стоимости</w:t>
            </w:r>
            <w:r w:rsidRPr="00C03D9F">
              <w:rPr>
                <w:rFonts w:ascii="Times New Roman" w:hAnsi="Times New Roman" w:cs="Times New Roman"/>
                <w:sz w:val="24"/>
                <w:szCs w:val="24"/>
              </w:rPr>
              <w:t xml:space="preserve"> на производство работ на конкретном объекте Заказчика</w:t>
            </w:r>
            <w:r w:rsidR="00CD2F77" w:rsidRPr="00C03D9F">
              <w:rPr>
                <w:rFonts w:ascii="Times New Roman" w:hAnsi="Times New Roman" w:cs="Times New Roman"/>
                <w:sz w:val="24"/>
                <w:szCs w:val="24"/>
              </w:rPr>
              <w:t>, в рамках действующего договора</w:t>
            </w:r>
            <w:r w:rsidRPr="00C03D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74442" w:rsidTr="0071237D">
        <w:trPr>
          <w:trHeight w:val="870"/>
        </w:trPr>
        <w:tc>
          <w:tcPr>
            <w:tcW w:w="3135" w:type="dxa"/>
          </w:tcPr>
          <w:p w:rsidR="00B74442" w:rsidRPr="008B5DCA" w:rsidRDefault="008B5DCA" w:rsidP="008B5DCA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Общие требования к выполнению работ</w:t>
            </w:r>
          </w:p>
        </w:tc>
        <w:tc>
          <w:tcPr>
            <w:tcW w:w="6716" w:type="dxa"/>
          </w:tcPr>
          <w:p w:rsidR="00B74442" w:rsidRPr="00C03D9F" w:rsidRDefault="00480F12" w:rsidP="00480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D9F">
              <w:rPr>
                <w:rFonts w:ascii="Times New Roman" w:hAnsi="Times New Roman" w:cs="Times New Roman"/>
                <w:sz w:val="24"/>
                <w:szCs w:val="24"/>
              </w:rPr>
              <w:t>работы проводить в соответствии с СП 11-104-97. Инженерно-геодезические изыскания для строительства.</w:t>
            </w:r>
          </w:p>
        </w:tc>
      </w:tr>
      <w:tr w:rsidR="00B74442" w:rsidTr="0071237D">
        <w:trPr>
          <w:trHeight w:val="660"/>
        </w:trPr>
        <w:tc>
          <w:tcPr>
            <w:tcW w:w="3135" w:type="dxa"/>
          </w:tcPr>
          <w:p w:rsidR="00B74442" w:rsidRPr="00E30C8D" w:rsidRDefault="00E30C8D" w:rsidP="00E30C8D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Требования к безопасности выполнения работ и безопасности результатов работ</w:t>
            </w:r>
          </w:p>
        </w:tc>
        <w:tc>
          <w:tcPr>
            <w:tcW w:w="6716" w:type="dxa"/>
          </w:tcPr>
          <w:p w:rsidR="006E5FB4" w:rsidRPr="00C03D9F" w:rsidRDefault="006E5FB4" w:rsidP="00E53F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D9F">
              <w:rPr>
                <w:rFonts w:ascii="Times New Roman" w:hAnsi="Times New Roman" w:cs="Times New Roman"/>
                <w:sz w:val="24"/>
                <w:szCs w:val="24"/>
              </w:rPr>
              <w:t>Охрана труда работающих должна обеспечиваться с соблюдением правил, норм и инструкций по охране труда при выполнении и геодезических работ. Работы производить только в отведенной зоне, ограниченной координатами, указанными в акте-допуске на объект.</w:t>
            </w:r>
          </w:p>
          <w:p w:rsidR="00B74442" w:rsidRPr="00C03D9F" w:rsidRDefault="00B74442" w:rsidP="00653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442" w:rsidTr="0071237D">
        <w:trPr>
          <w:trHeight w:val="405"/>
        </w:trPr>
        <w:tc>
          <w:tcPr>
            <w:tcW w:w="3135" w:type="dxa"/>
          </w:tcPr>
          <w:p w:rsidR="00B74442" w:rsidRPr="00AB521A" w:rsidRDefault="00AB521A" w:rsidP="00AB521A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Порядок сдачи и приемки результатов работ</w:t>
            </w:r>
          </w:p>
        </w:tc>
        <w:tc>
          <w:tcPr>
            <w:tcW w:w="6716" w:type="dxa"/>
          </w:tcPr>
          <w:p w:rsidR="00B74442" w:rsidRPr="00C03D9F" w:rsidRDefault="00354B54" w:rsidP="00354B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D9F">
              <w:rPr>
                <w:rFonts w:ascii="Times New Roman" w:hAnsi="Times New Roman" w:cs="Times New Roman"/>
                <w:sz w:val="24"/>
                <w:szCs w:val="24"/>
              </w:rPr>
              <w:t>Оформление документации на выполнение работ (согласно пункта 7 настоящего технического задания), составление акта выполненных работ по каждому конкретному объекту Заказчика.</w:t>
            </w:r>
          </w:p>
        </w:tc>
      </w:tr>
      <w:tr w:rsidR="00B74442" w:rsidTr="0071237D">
        <w:trPr>
          <w:trHeight w:val="285"/>
        </w:trPr>
        <w:tc>
          <w:tcPr>
            <w:tcW w:w="3135" w:type="dxa"/>
          </w:tcPr>
          <w:p w:rsidR="00B74442" w:rsidRPr="0052194B" w:rsidRDefault="0052194B" w:rsidP="0071237D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Требования по объему гарантий качества</w:t>
            </w:r>
          </w:p>
        </w:tc>
        <w:tc>
          <w:tcPr>
            <w:tcW w:w="6716" w:type="dxa"/>
          </w:tcPr>
          <w:p w:rsidR="00B74442" w:rsidRPr="00C03D9F" w:rsidRDefault="00C80D88" w:rsidP="00653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D9F">
              <w:rPr>
                <w:rFonts w:ascii="Times New Roman" w:hAnsi="Times New Roman" w:cs="Times New Roman"/>
                <w:sz w:val="24"/>
                <w:szCs w:val="24"/>
              </w:rPr>
              <w:t>Дополнительных требований не предусматривается.</w:t>
            </w:r>
          </w:p>
        </w:tc>
      </w:tr>
    </w:tbl>
    <w:p w:rsidR="00653AD2" w:rsidRDefault="00653AD2" w:rsidP="00653AD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0788" w:rsidRDefault="00130788" w:rsidP="0013078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Техническое задание составили:</w:t>
      </w:r>
    </w:p>
    <w:p w:rsidR="00130788" w:rsidRDefault="00130788" w:rsidP="00130788">
      <w:pPr>
        <w:rPr>
          <w:rFonts w:ascii="Times New Roman" w:hAnsi="Times New Roman" w:cs="Times New Roman"/>
          <w:b/>
          <w:sz w:val="28"/>
          <w:szCs w:val="28"/>
        </w:rPr>
      </w:pPr>
    </w:p>
    <w:p w:rsidR="00130788" w:rsidRDefault="00130788" w:rsidP="0013078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Главный инженер МУП «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Водоканал»   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В.В. Богданов</w:t>
      </w:r>
    </w:p>
    <w:p w:rsidR="00130788" w:rsidRDefault="00130788" w:rsidP="00130788">
      <w:pPr>
        <w:rPr>
          <w:rFonts w:ascii="Times New Roman" w:hAnsi="Times New Roman" w:cs="Times New Roman"/>
          <w:b/>
          <w:sz w:val="28"/>
          <w:szCs w:val="28"/>
        </w:rPr>
      </w:pPr>
    </w:p>
    <w:p w:rsidR="00130788" w:rsidRDefault="00130788" w:rsidP="0013078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Заместитель директора                                                              </w:t>
      </w:r>
      <w:r w:rsidR="00114992">
        <w:rPr>
          <w:rFonts w:ascii="Times New Roman" w:hAnsi="Times New Roman" w:cs="Times New Roman"/>
          <w:b/>
          <w:sz w:val="28"/>
          <w:szCs w:val="28"/>
        </w:rPr>
        <w:t xml:space="preserve">В.Н. </w:t>
      </w:r>
      <w:proofErr w:type="spellStart"/>
      <w:r w:rsidR="00114992">
        <w:rPr>
          <w:rFonts w:ascii="Times New Roman" w:hAnsi="Times New Roman" w:cs="Times New Roman"/>
          <w:b/>
          <w:sz w:val="28"/>
          <w:szCs w:val="28"/>
        </w:rPr>
        <w:t>Синофеев</w:t>
      </w:r>
      <w:proofErr w:type="spellEnd"/>
    </w:p>
    <w:p w:rsidR="00114992" w:rsidRDefault="00114992" w:rsidP="00130788">
      <w:pPr>
        <w:rPr>
          <w:rFonts w:ascii="Times New Roman" w:hAnsi="Times New Roman" w:cs="Times New Roman"/>
          <w:b/>
          <w:sz w:val="28"/>
          <w:szCs w:val="28"/>
        </w:rPr>
      </w:pPr>
    </w:p>
    <w:p w:rsidR="00114992" w:rsidRDefault="00114992" w:rsidP="0013078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Начальник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техн.отдела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Л.Б.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Шикина</w:t>
      </w:r>
      <w:proofErr w:type="spellEnd"/>
    </w:p>
    <w:p w:rsidR="00130788" w:rsidRDefault="00130788" w:rsidP="00130788">
      <w:pPr>
        <w:rPr>
          <w:rFonts w:ascii="Times New Roman" w:hAnsi="Times New Roman" w:cs="Times New Roman"/>
          <w:b/>
          <w:sz w:val="28"/>
          <w:szCs w:val="28"/>
        </w:rPr>
      </w:pPr>
    </w:p>
    <w:sectPr w:rsidR="001307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D31F2D"/>
    <w:multiLevelType w:val="multilevel"/>
    <w:tmpl w:val="82EE422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39466EB1"/>
    <w:multiLevelType w:val="hybridMultilevel"/>
    <w:tmpl w:val="9D6490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B173CE"/>
    <w:multiLevelType w:val="multilevel"/>
    <w:tmpl w:val="13B21596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19"/>
        <w:szCs w:val="19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19"/>
        <w:szCs w:val="19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D484496"/>
    <w:multiLevelType w:val="hybridMultilevel"/>
    <w:tmpl w:val="CECAA92C"/>
    <w:lvl w:ilvl="0" w:tplc="B928DA22">
      <w:start w:val="4"/>
      <w:numFmt w:val="bullet"/>
      <w:lvlText w:val=""/>
      <w:lvlJc w:val="left"/>
      <w:pPr>
        <w:ind w:left="7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74B45D69"/>
    <w:multiLevelType w:val="multilevel"/>
    <w:tmpl w:val="985802F2"/>
    <w:lvl w:ilvl="0">
      <w:start w:val="7"/>
      <w:numFmt w:val="decimal"/>
      <w:lvlText w:val="%1."/>
      <w:lvlJc w:val="left"/>
      <w:pPr>
        <w:ind w:left="420" w:hanging="42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11D"/>
    <w:rsid w:val="0000059D"/>
    <w:rsid w:val="00023EDF"/>
    <w:rsid w:val="00075F89"/>
    <w:rsid w:val="00081090"/>
    <w:rsid w:val="000B0B67"/>
    <w:rsid w:val="00114992"/>
    <w:rsid w:val="00130788"/>
    <w:rsid w:val="001D47D2"/>
    <w:rsid w:val="001E1E02"/>
    <w:rsid w:val="0023241C"/>
    <w:rsid w:val="002709C3"/>
    <w:rsid w:val="00275E96"/>
    <w:rsid w:val="00277A79"/>
    <w:rsid w:val="003103CE"/>
    <w:rsid w:val="00354B54"/>
    <w:rsid w:val="003A6EED"/>
    <w:rsid w:val="0040502A"/>
    <w:rsid w:val="0044261A"/>
    <w:rsid w:val="00451633"/>
    <w:rsid w:val="00480F12"/>
    <w:rsid w:val="0052194B"/>
    <w:rsid w:val="005C53E2"/>
    <w:rsid w:val="005E6705"/>
    <w:rsid w:val="00651BF0"/>
    <w:rsid w:val="00653AD2"/>
    <w:rsid w:val="006A0D59"/>
    <w:rsid w:val="006B18FA"/>
    <w:rsid w:val="006D14BC"/>
    <w:rsid w:val="006E5FB4"/>
    <w:rsid w:val="0071237D"/>
    <w:rsid w:val="00737F48"/>
    <w:rsid w:val="00780B8C"/>
    <w:rsid w:val="00791CA4"/>
    <w:rsid w:val="007B32EA"/>
    <w:rsid w:val="007D3C08"/>
    <w:rsid w:val="00863C60"/>
    <w:rsid w:val="008963E1"/>
    <w:rsid w:val="008B5DCA"/>
    <w:rsid w:val="008C3772"/>
    <w:rsid w:val="009A2FE3"/>
    <w:rsid w:val="009A4983"/>
    <w:rsid w:val="009E4E33"/>
    <w:rsid w:val="00A31170"/>
    <w:rsid w:val="00A90584"/>
    <w:rsid w:val="00AB521A"/>
    <w:rsid w:val="00B01F35"/>
    <w:rsid w:val="00B12C5A"/>
    <w:rsid w:val="00B74442"/>
    <w:rsid w:val="00B83032"/>
    <w:rsid w:val="00BA2B1B"/>
    <w:rsid w:val="00C03D9F"/>
    <w:rsid w:val="00C05707"/>
    <w:rsid w:val="00C21723"/>
    <w:rsid w:val="00C80D88"/>
    <w:rsid w:val="00CD2F77"/>
    <w:rsid w:val="00D00E4F"/>
    <w:rsid w:val="00D20C30"/>
    <w:rsid w:val="00D53E52"/>
    <w:rsid w:val="00D553DF"/>
    <w:rsid w:val="00D974DE"/>
    <w:rsid w:val="00E102BA"/>
    <w:rsid w:val="00E30C8D"/>
    <w:rsid w:val="00E53FE7"/>
    <w:rsid w:val="00F37902"/>
    <w:rsid w:val="00FA6053"/>
    <w:rsid w:val="00FB111D"/>
    <w:rsid w:val="00FF4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331AE8-17BC-4230-BE4C-9EFEAD32D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0B8C"/>
    <w:pPr>
      <w:ind w:left="720"/>
      <w:contextualSpacing/>
    </w:pPr>
  </w:style>
  <w:style w:type="character" w:customStyle="1" w:styleId="BodytextSpacing0pt">
    <w:name w:val="Body text + Spacing 0 pt"/>
    <w:basedOn w:val="a0"/>
    <w:rsid w:val="00B830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9"/>
      <w:w w:val="100"/>
      <w:position w:val="0"/>
      <w:sz w:val="19"/>
      <w:szCs w:val="19"/>
      <w:u w:val="none"/>
      <w:lang w:val="ru-RU"/>
    </w:rPr>
  </w:style>
  <w:style w:type="paragraph" w:styleId="a4">
    <w:name w:val="Balloon Text"/>
    <w:basedOn w:val="a"/>
    <w:link w:val="a5"/>
    <w:uiPriority w:val="99"/>
    <w:semiHidden/>
    <w:unhideWhenUsed/>
    <w:rsid w:val="006B18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B18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32F93B-0276-4600-8D4F-CD98EFFEF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961</Words>
  <Characters>5478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72</cp:revision>
  <cp:lastPrinted>2021-05-26T07:38:00Z</cp:lastPrinted>
  <dcterms:created xsi:type="dcterms:W3CDTF">2021-04-08T07:43:00Z</dcterms:created>
  <dcterms:modified xsi:type="dcterms:W3CDTF">2021-05-26T10:29:00Z</dcterms:modified>
</cp:coreProperties>
</file>