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093813-22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Заправка автотранспорта по топливным картам бензином и дизельным топливом на 2023 год для нужд МУП «Жилищное хозяйство»</w:t>
      </w:r>
    </w:p>
    <w:p w:rsidR="007C3BF1" w:rsidRDefault="00943E25">
      <w:pPr>
        <w:ind w:left="1418"/>
      </w:pPr>
      <w:r w:rsidR="008C2287">
        <w:t xml:space="preserve">Цена </w:t>
      </w:r>
      <w:r w:rsidR="008C2287">
        <w:t>договора</w:t>
      </w:r>
      <w:r w:rsidR="008C2287">
        <w:t>, руб.:</w:t>
      </w:r>
      <w:r w:rsidR="001406FC">
        <w:t xml:space="preserve"> </w:t>
      </w:r>
      <w:r w:rsidR="008C2287">
        <w:t>1 890 000,00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МУП "Жилищное хозяйство"</w:t>
      </w:r>
    </w:p>
    <w:p w:rsidR="007C3BF1" w:rsidRDefault="008C2287">
      <w:pPr>
        <w:ind w:left="1418"/>
      </w:pPr>
      <w:r>
        <w:lastRenderedPageBreak/>
        <w:t xml:space="preserve">ИНН: </w:t>
      </w:r>
      <w:r>
        <w:t>5006007717</w:t>
      </w:r>
    </w:p>
    <w:p w:rsidR="007C3BF1" w:rsidRDefault="008C2287">
      <w:pPr>
        <w:ind w:left="1418"/>
      </w:pPr>
      <w:r>
        <w:t xml:space="preserve">КПП: </w:t>
      </w:r>
      <w:r>
        <w:rPr>
          <w:lang w:val="en-US"/>
        </w:rPr>
        <w:t>500601001</w:t>
      </w:r>
    </w:p>
    <w:p w:rsidR="007C3BF1" w:rsidRDefault="008C2287">
      <w:pPr>
        <w:ind w:left="1418"/>
      </w:pPr>
      <w:r>
        <w:t>Место нахождения:</w:t>
      </w:r>
      <w:r>
        <w:rPr>
          <w:lang w:val="en-US"/>
        </w:rPr>
        <w:t xml:space="preserve"> </w:t>
      </w:r>
      <w:r>
        <w:rPr>
          <w:lang w:val="en-US"/>
        </w:rPr>
        <w:t>143090 Московская область г. Краснознаменск ул. Парковая д.12</w:t>
      </w:r>
    </w:p>
    <w:p w:rsidR="007C3BF1" w:rsidRDefault="008C2287">
      <w:pPr>
        <w:ind w:left="1418"/>
      </w:pPr>
      <w:r>
        <w:t>Адрес юридического лица:</w:t>
      </w:r>
      <w:r w:rsidRPr="005A4720">
        <w:t xml:space="preserve"> </w:t>
      </w:r>
      <w:r>
        <w:t>143090 Московская область г. Краснознаменск ул. Парковая д.12</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P="00876256" w:rsidRDefault="00E2118C">
            <w:pPr>
              <w:pStyle w:val="a8"/>
              <w:keepNext/>
              <w:rPr>
                <w:b/>
              </w:rPr>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4678" w:type="dxa"/>
            <w:shd w:val="clear" w:color="auto" w:fill="auto"/>
          </w:tcPr>
          <w:p w:rsidR="007C3BF1" w:rsidP="00876256" w:rsidRDefault="008C2287">
            <w:pPr>
              <w:pStyle w:val="17"/>
              <w:keepNext/>
            </w:pPr>
            <w:r>
              <w:t>Наименование</w:t>
            </w:r>
          </w:p>
        </w:tc>
        <w:tc>
          <w:tcPr>
            <w:tcW w:w="1559" w:type="dxa"/>
          </w:tcPr>
          <w:p w:rsidR="007C3BF1" w:rsidP="00876256" w:rsidRDefault="008C2287">
            <w:pPr>
              <w:pStyle w:val="17"/>
              <w:keepNext/>
            </w:pPr>
            <w:r>
              <w:t>Размер НДС</w:t>
            </w:r>
          </w:p>
        </w:tc>
        <w:tc>
          <w:tcPr>
            <w:tcW w:w="1984" w:type="dxa"/>
          </w:tcPr>
          <w:p w:rsidR="007C3BF1" w:rsidP="00876256" w:rsidRDefault="008C2287">
            <w:pPr>
              <w:pStyle w:val="17"/>
              <w:keepNext/>
            </w:pPr>
            <w:r>
              <w:t>Общая стоимость без НДС, руб</w:t>
            </w:r>
          </w:p>
        </w:tc>
        <w:tc>
          <w:tcPr>
            <w:tcW w:w="2127" w:type="dxa"/>
          </w:tcPr>
          <w:p w:rsidR="007C3BF1" w:rsidP="00876256" w:rsidRDefault="008C2287">
            <w:pPr>
              <w:pStyle w:val="17"/>
              <w:keepNext/>
            </w:pPr>
            <w:r>
              <w:t>Размер НДС, руб.</w:t>
            </w:r>
          </w:p>
        </w:tc>
        <w:tc>
          <w:tcPr>
            <w:tcW w:w="2835" w:type="dxa"/>
            <w:shd w:val="clear" w:color="auto" w:fill="auto"/>
          </w:tcPr>
          <w:p w:rsidR="007C3BF1" w:rsidP="00876256" w:rsidRDefault="008C2287">
            <w:pPr>
              <w:pStyle w:val="17"/>
              <w:keepNext/>
            </w:pPr>
            <w:r>
              <w:t>Общая стоимость, руб.</w:t>
            </w:r>
          </w:p>
        </w:tc>
      </w:tr>
      <w:tr>
        <w:trPr>
          <w:cantSplit/>
        </w:trPr>
        <w:tc>
          <w:tcPr>
            <w:tcW w:w="1526"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01.08.01.03.04.06</w:t>
            </w:r>
            <w:r w:rsidRPr="00C15977">
              <w:rPr>
                <w:b/>
                <w:lang w:val="en-US"/>
              </w:rPr>
              <w:t xml:space="preserve"> / </w:t>
            </w:r>
            <w:r w:rsidRPr="00C15977">
              <w:rPr>
                <w:lang w:val="en-US"/>
              </w:rPr>
              <w:t>19.20.21.125</w:t>
            </w:r>
          </w:p>
        </w:tc>
        <w:tc>
          <w:tcPr>
            <w:tcW w:w="4678" w:type="dxa"/>
            <w:shd w:val="clear" w:color="auto" w:fill="auto"/>
          </w:tcPr>
          <w:p w:rsidR="007C3BF1" w:rsidRDefault="00943E25">
            <w:pPr>
              <w:pStyle w:val="a8"/>
              <w:rPr>
                <w:lang w:val="en-US"/>
              </w:rPr>
            </w:pPr>
            <w:r w:rsidR="008C2287">
              <w:t>Бензин автомобильный АИ-92 экологического класса не ниже К5</w:t>
            </w:r>
          </w:p>
        </w:tc>
        <w:tc>
          <w:tcPr>
            <w:tcW w:w="1559" w:type="dxa"/>
          </w:tcPr>
          <w:p w:rsidR="007C3BF1" w:rsidRDefault="00943E25">
            <w:pPr>
              <w:pStyle w:val="a8"/>
              <w:jc w:val="right"/>
              <w:rPr>
                <w:lang w:val="en-US"/>
              </w:rPr>
            </w:pPr>
            <w:r w:rsidR="008C2287">
              <w:rPr>
                <w:lang w:val="en-US"/>
              </w:rPr>
              <w:t>20/120</w:t>
            </w:r>
          </w:p>
        </w:tc>
        <w:tc>
          <w:tcPr>
            <w:tcW w:w="1984"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01.08.01.03.04.09</w:t>
            </w:r>
            <w:r w:rsidRPr="00C15977">
              <w:rPr>
                <w:b/>
                <w:lang w:val="en-US"/>
              </w:rPr>
              <w:t xml:space="preserve"> / </w:t>
            </w:r>
            <w:r w:rsidRPr="00C15977">
              <w:rPr>
                <w:lang w:val="en-US"/>
              </w:rPr>
              <w:t>19.20.21.135</w:t>
            </w:r>
          </w:p>
        </w:tc>
        <w:tc>
          <w:tcPr>
            <w:tcW w:w="4678" w:type="dxa"/>
            <w:shd w:val="clear" w:color="auto" w:fill="auto"/>
          </w:tcPr>
          <w:p w:rsidR="007C3BF1" w:rsidRDefault="00943E25">
            <w:pPr>
              <w:pStyle w:val="a8"/>
              <w:rPr>
                <w:lang w:val="en-US"/>
              </w:rPr>
            </w:pPr>
            <w:r w:rsidR="008C2287">
              <w:t>Бензин автомобильный АИ-95 экологического класса не ниже К5 (розничная реализация)</w:t>
            </w:r>
          </w:p>
        </w:tc>
        <w:tc>
          <w:tcPr>
            <w:tcW w:w="1559" w:type="dxa"/>
          </w:tcPr>
          <w:p w:rsidR="007C3BF1" w:rsidRDefault="00943E25">
            <w:pPr>
              <w:pStyle w:val="a8"/>
              <w:jc w:val="right"/>
              <w:rPr>
                <w:lang w:val="en-US"/>
              </w:rPr>
            </w:pPr>
            <w:r w:rsidR="008C2287">
              <w:rPr>
                <w:lang w:val="en-US"/>
              </w:rPr>
              <w:t>20/120</w:t>
            </w:r>
          </w:p>
        </w:tc>
        <w:tc>
          <w:tcPr>
            <w:tcW w:w="1984"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r>
      <w:tr>
        <w:trPr>
          <w:cantSplit/>
        </w:trPr>
        <w:tc>
          <w:tcPr>
            <w:tcW w:w="1526"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01.08.01.10.04.07</w:t>
            </w:r>
            <w:r w:rsidRPr="00C15977">
              <w:rPr>
                <w:b/>
                <w:lang w:val="en-US"/>
              </w:rPr>
              <w:t xml:space="preserve"> / </w:t>
            </w:r>
            <w:r w:rsidRPr="00C15977">
              <w:rPr>
                <w:lang w:val="en-US"/>
              </w:rPr>
              <w:t>19.20.21.345</w:t>
            </w:r>
          </w:p>
        </w:tc>
        <w:tc>
          <w:tcPr>
            <w:tcW w:w="4678" w:type="dxa"/>
            <w:shd w:val="clear" w:color="auto" w:fill="auto"/>
          </w:tcPr>
          <w:p w:rsidR="007C3BF1" w:rsidRDefault="00943E25">
            <w:pPr>
              <w:pStyle w:val="a8"/>
              <w:rPr>
                <w:lang w:val="en-US"/>
              </w:rPr>
            </w:pPr>
            <w:r w:rsidR="008C2287">
              <w:t>Топливо дизельное межсезонное экологического класса не ниже К5 (розничная поставка)</w:t>
            </w:r>
          </w:p>
        </w:tc>
        <w:tc>
          <w:tcPr>
            <w:tcW w:w="1559" w:type="dxa"/>
          </w:tcPr>
          <w:p w:rsidR="007C3BF1" w:rsidRDefault="00943E25">
            <w:pPr>
              <w:pStyle w:val="a8"/>
              <w:jc w:val="right"/>
              <w:rPr>
                <w:lang w:val="en-US"/>
              </w:rPr>
            </w:pPr>
            <w:r w:rsidR="008C2287">
              <w:rPr>
                <w:lang w:val="en-US"/>
              </w:rPr>
              <w:t>20/120</w:t>
            </w:r>
          </w:p>
        </w:tc>
        <w:tc>
          <w:tcPr>
            <w:tcW w:w="1984"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943E25">
            <w:pPr>
              <w:pStyle w:val="a8"/>
              <w:jc w:val="right"/>
              <w:rPr>
                <w:lang w:val="en-US"/>
              </w:rPr>
            </w:pPr>
            <w:r w:rsidR="008C2287">
              <w:rPr>
                <w:lang w:val="en-US"/>
              </w:rPr>
              <w:t>(</w:t>
            </w:r>
            <w:r w:rsidR="008C2287">
              <w:t>не</w:t>
            </w:r>
            <w:r w:rsidR="003701D7">
              <w:t xml:space="preserve"> </w:t>
            </w:r>
            <w:r w:rsidR="008C2287">
              <w:t>указано</w:t>
            </w:r>
            <w:r w:rsidR="008C2287">
              <w:rPr>
                <w:lang w:val="en-US"/>
              </w:rPr>
              <w:t>)*</w:t>
            </w:r>
          </w:p>
        </w:tc>
      </w:tr>
    </w:tbl>
    <w:p w:rsidR="007C3BF1" w:rsidRDefault="00943E25">
      <w:pPr>
        <w:pStyle w:val="a8"/>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К5</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К5 (розничная реализация)</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межсезонное экологического класса не ниже К5 (розничная поставка)</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№01</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независимо от неустойки</w:t>
            </w:r>
          </w:p>
        </w:tc>
        <w:tc>
          <w:tcPr>
            <w:tcW w:w="753" w:type="pct"/>
          </w:tcPr>
          <w:p w:rsidR="007C3BF1" w:rsidRDefault="00943E25">
            <w:pPr>
              <w:pStyle w:val="a8"/>
            </w:pPr>
            <w:r w:rsidR="008C2287">
              <w:t> «Универсальный передаточный документ (СЧФДОП), формат УПД, утвержденный приказом ФНС России» (Заправка автотранспорта по топливным картам бензином и дизельным топливом на 2023 год для нужд МУП «Жилищное хозяйство»)</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Согласование (без подписания)</w:t>
            </w:r>
          </w:p>
        </w:tc>
        <w:tc>
          <w:tcPr>
            <w:tcW w:w="628" w:type="pct"/>
            <w:shd w:val="clear" w:color="auto" w:fill="auto"/>
          </w:tcPr>
          <w:p w:rsidR="007C3BF1" w:rsidRDefault="00943E25">
            <w:pPr>
              <w:pStyle w:val="a8"/>
            </w:pPr>
            <w:r w:rsidR="008C2287">
              <w:t>7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Детализация по картам</w:t>
            </w:r>
          </w:p>
        </w:tc>
        <w:tc>
          <w:tcPr>
            <w:tcW w:w="1821" w:type="pct"/>
            <w:vMerge w:val="restar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Согласование (без подписания)</w:t>
            </w:r>
          </w:p>
        </w:tc>
        <w:tc>
          <w:tcPr>
            <w:tcW w:w="628" w:type="pct"/>
            <w:shd w:val="clear" w:color="auto" w:fill="auto"/>
          </w:tcPr>
          <w:p w:rsidR="007C3BF1" w:rsidRDefault="00943E25">
            <w:pPr>
              <w:pStyle w:val="a8"/>
            </w:pPr>
            <w:r w:rsidR="008C2287">
              <w:t>7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№01</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Ненадлежащее исполнение обязательств Исполнителем</w:t>
            </w:r>
          </w:p>
        </w:tc>
        <w:tc>
          <w:tcPr>
            <w:tcW w:w="836" w:type="pct"/>
            <w:shd w:val="clear" w:color="auto" w:fill="auto"/>
          </w:tcPr>
          <w:p w:rsidR="007C3BF1" w:rsidRDefault="00943E25">
            <w:pPr>
              <w:pStyle w:val="a8"/>
            </w:pPr>
            <w:r w:rsidR="008C2287">
              <w:t>За каждый факт неисполнения или ненадлежащего исполнение Поставщиком обязательств</w:t>
            </w:r>
          </w:p>
        </w:tc>
        <w:tc>
          <w:tcPr>
            <w:tcW w:w="1076" w:type="pct"/>
            <w:shd w:val="clear" w:color="auto" w:fill="auto"/>
          </w:tcPr>
          <w:p w:rsidR="007C3BF1" w:rsidRDefault="00943E25">
            <w:pPr>
              <w:pStyle w:val="a8"/>
            </w:pPr>
            <w:r w:rsidR="008C2287">
              <w:t>Заправка автотранспорта по топливным картам бензином и дизельным топливом на 2023 год для нужд МУП «Жилищное хозяйство»</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10</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Ненадлежащее исполнение обязательств Заказчиком</w:t>
            </w:r>
          </w:p>
        </w:tc>
        <w:tc>
          <w:tcPr>
            <w:tcW w:w="836" w:type="pct"/>
            <w:shd w:val="clear" w:color="auto" w:fill="auto"/>
          </w:tcPr>
          <w:p w:rsidR="007C3BF1" w:rsidRDefault="00943E25">
            <w:pPr>
              <w:pStyle w:val="a8"/>
            </w:pPr>
            <w:r w:rsidR="008C2287">
              <w:t>За каждый факт неисполнения Заказчиком обязательств</w:t>
            </w:r>
          </w:p>
        </w:tc>
        <w:tc>
          <w:tcPr>
            <w:tcW w:w="1076" w:type="pct"/>
            <w:shd w:val="clear" w:color="auto" w:fill="auto"/>
          </w:tcPr>
          <w:p w:rsidR="007C3BF1" w:rsidRDefault="00943E25">
            <w:pPr>
              <w:pStyle w:val="a8"/>
            </w:pPr>
            <w:r w:rsidR="008C2287">
              <w:t>Оплата №01</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