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Захарова Н.А.</w:t>
        <w:br/>
        <w:t>Директор</w:t>
        <w:br/>
        <w:t>МАУ "ТВ Мытищи"</w:t>
        <w:br/>
        <w:t>«11» сентября 2020г.</w:t>
        <w:br/>
        <w:t/>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серверного оборудования в сборе</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bookmarkStart w:id="11" w:name="_GoBack"/>
      <w:bookmarkEnd w:id="11"/>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3016E3" w:rsidRDefault="00DA4ED6" w:rsidP="00DA4ED6">
      <w:pPr>
        <w:pStyle w:val="25"/>
        <w:shd w:val="clear" w:color="auto" w:fill="auto"/>
        <w:spacing w:after="0" w:line="240" w:lineRule="auto"/>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серверного оборудования</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условиями договора;</w:t>
              <w:br/>
              <w:t>Сроки поставки товара: В соответствии с условиями договора;</w:t>
              <w:br/>
              <w:t>Условия поставки товара: В соответствии с условиями договора</w:t>
              <w:br/>
              <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
Неучтенные затраты по договору, связанные с исполнением договора, но не включенные в цену договора, не подлежат оплате Заказчиком.</w:t>
            </w: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555 500 (пятьсот пятьдесят пять тысяч пятьсот) рублей 20 копеек</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901-0000-0000000000-244, 555 500 рублей 20 копеек</w:t>
              <w:br/>
              <w:t/>
              <w:br/>
              <w:t>ОКПД2: 26.20.15.000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br/>
              <w:t/>
              <w:br/>
              <w:t>ОКВЭД2: 26.20.1 Производство компьютеров;</w:t>
              <w:br/>
              <w:t/>
              <w:br/>
              <w:t>Код КОЗ: 01.01.01.04.18.02 Серверный модуль;</w:t>
              <w:br/>
              <w:t/>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0.5%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соответствии с условиями договора</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В соответствии с документацией и положением о закупке МАУ "ТВ Мытищи"</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МАУ "ТВ Мытищи"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«11» сентября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«22» сентября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«11» сентября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«28» сентября 2020 в 08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«28» сентября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«29» сентября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«02» октября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«02» октября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«07» октября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«07» октября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55 550 (пятьдесят пять тысяч пятьсот пятьдесят) рублей 02 копейки,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w:t>
              <w:br/>
              <w:t>р/с: 40703810140004004201</w:t>
              <w:br/>
              <w:t>ПАО СБЕРБАНК</w:t>
              <w:br/>
              <w:t>БИК: 044525225</w:t>
              <w:br/>
              <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DF" w:rsidRDefault="00CE3CDF">
      <w:r>
        <w:separator/>
      </w:r>
    </w:p>
  </w:endnote>
  <w:endnote w:type="continuationSeparator" w:id="0">
    <w:p w:rsidR="00CE3CDF" w:rsidRDefault="00CE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DF" w:rsidRDefault="00CE3CDF">
      <w:r>
        <w:separator/>
      </w:r>
    </w:p>
  </w:footnote>
  <w:footnote w:type="continuationSeparator" w:id="0">
    <w:p w:rsidR="00CE3CDF" w:rsidRDefault="00CE3CDF">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34</Pages>
  <Words>10869</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213</cp:revision>
  <cp:lastPrinted>2020-02-28T12:36:00Z</cp:lastPrinted>
  <dcterms:created xsi:type="dcterms:W3CDTF">2020-05-18T07:06:00Z</dcterms:created>
  <dcterms:modified xsi:type="dcterms:W3CDTF">2020-06-18T14:21:00Z</dcterms:modified>
</cp:coreProperties>
</file>